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76FAF7E3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D54B2" wp14:editId="2A7D54B3">
                <wp:simplePos x="0" y="0"/>
                <wp:positionH relativeFrom="margin">
                  <wp:align>left</wp:align>
                </wp:positionH>
                <wp:positionV relativeFrom="margin">
                  <wp:posOffset>519955</wp:posOffset>
                </wp:positionV>
                <wp:extent cx="6000119" cy="1121411"/>
                <wp:effectExtent l="0" t="0" r="19681" b="21589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11214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D54B4" w14:textId="77777777" w:rsidR="00AB2997" w:rsidRDefault="00AB2997">
                            <w:pPr>
                              <w:keepNext/>
                              <w:spacing w:before="120" w:after="120"/>
                              <w:outlineLvl w:val="1"/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Before completing this template, you should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read the guidance on </w:t>
                            </w:r>
                            <w:hyperlink r:id="rId11" w:anchor="online-statements" w:history="1">
                              <w:r w:rsidRPr="00741B9E">
                                <w:rPr>
                                  <w:color w:val="0000FF"/>
                                  <w:u w:val="single"/>
                                </w:rPr>
                                <w:t>using pupil premium</w:t>
                              </w:r>
                            </w:hyperlink>
                            <w:r w:rsidRPr="00741B9E">
                              <w:rPr>
                                <w:rStyle w:val="Hyperlink"/>
                                <w:bCs/>
                                <w:color w:val="auto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 </w:t>
                            </w:r>
                          </w:p>
                          <w:p w14:paraId="2A7D54B5" w14:textId="77777777" w:rsidR="00AB2997" w:rsidRDefault="00AB2997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>Before publishing your completed statement, you should delete the instructions (text in italics) in this template, including this text box.</w:t>
                            </w:r>
                          </w:p>
                          <w:p w14:paraId="2A7D54B6" w14:textId="77777777" w:rsidR="00AB2997" w:rsidRDefault="00AB2997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D54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0.95pt;width:472.45pt;height:88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" fillcolor="#f2f2f2" strokeweight=".26467mm">
                <v:textbox>
                  <w:txbxContent>
                    <w:p w14:paraId="2A7D54B4" w14:textId="77777777" w:rsidR="00AB2997" w:rsidRDefault="00AB2997">
                      <w:pPr>
                        <w:keepNext/>
                        <w:spacing w:before="120" w:after="120"/>
                        <w:outlineLvl w:val="1"/>
                      </w:pPr>
                      <w:r>
                        <w:rPr>
                          <w:bCs/>
                          <w:i/>
                          <w:iCs/>
                        </w:rPr>
                        <w:t xml:space="preserve">Before completing this template, you should 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read the guidance on </w:t>
                      </w:r>
                      <w:hyperlink r:id="rId12" w:anchor="online-statements" w:history="1">
                        <w:r w:rsidRPr="00741B9E">
                          <w:rPr>
                            <w:color w:val="0000FF"/>
                            <w:u w:val="single"/>
                          </w:rPr>
                          <w:t>using pupil premium</w:t>
                        </w:r>
                      </w:hyperlink>
                      <w:r w:rsidRPr="00741B9E">
                        <w:rPr>
                          <w:rStyle w:val="Hyperlink"/>
                          <w:bCs/>
                          <w:color w:val="auto"/>
                          <w:u w:val="none"/>
                        </w:rPr>
                        <w:t>.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 </w:t>
                      </w:r>
                    </w:p>
                    <w:p w14:paraId="2A7D54B5" w14:textId="77777777" w:rsidR="00AB2997" w:rsidRDefault="00AB2997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color w:val="auto"/>
                        </w:rPr>
                      </w:pPr>
                      <w:r>
                        <w:rPr>
                          <w:bCs/>
                          <w:i/>
                          <w:iCs/>
                          <w:color w:val="auto"/>
                        </w:rPr>
                        <w:t>Before publishing your completed statement, you should delete the instructions (text in italics) in this template, including this text box.</w:t>
                      </w:r>
                    </w:p>
                    <w:p w14:paraId="2A7D54B6" w14:textId="77777777" w:rsidR="00AB2997" w:rsidRDefault="00AB2997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53350A">
        <w:t xml:space="preserve"> 202</w:t>
      </w:r>
      <w:r w:rsidR="007E2C60">
        <w:t>4</w:t>
      </w:r>
      <w:r w:rsidR="0053350A">
        <w:t>-2</w:t>
      </w:r>
      <w:r w:rsidR="007E2C60">
        <w:t>5</w:t>
      </w:r>
    </w:p>
    <w:p w14:paraId="2A7D54B2" w14:textId="41CA56FD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(and recovery premium for the 202</w:t>
      </w:r>
      <w:r w:rsidR="003E67D7">
        <w:rPr>
          <w:b w:val="0"/>
          <w:bCs/>
          <w:color w:val="auto"/>
          <w:sz w:val="24"/>
          <w:szCs w:val="24"/>
        </w:rPr>
        <w:t>3</w:t>
      </w:r>
      <w:r>
        <w:rPr>
          <w:b w:val="0"/>
          <w:bCs/>
          <w:color w:val="auto"/>
          <w:sz w:val="24"/>
          <w:szCs w:val="24"/>
        </w:rPr>
        <w:t xml:space="preserve"> to 202</w:t>
      </w:r>
      <w:r w:rsidR="003E67D7">
        <w:rPr>
          <w:b w:val="0"/>
          <w:bCs/>
          <w:color w:val="auto"/>
          <w:sz w:val="24"/>
          <w:szCs w:val="24"/>
        </w:rPr>
        <w:t>4</w:t>
      </w:r>
      <w:r>
        <w:rPr>
          <w:b w:val="0"/>
          <w:bCs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09C563B7" w:rsidR="00E66558" w:rsidRDefault="00AB2997">
            <w:pPr>
              <w:pStyle w:val="TableRow"/>
            </w:pPr>
            <w:r>
              <w:t>St Joseph’s</w:t>
            </w:r>
            <w:r w:rsidR="001C5E07">
              <w:t xml:space="preserve"> Catholic Primary</w:t>
            </w:r>
          </w:p>
        </w:tc>
      </w:tr>
      <w:tr w:rsidR="00E66558" w14:paraId="2A7D54BD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75479199" w:rsidR="00E66558" w:rsidRPr="00B435E5" w:rsidRDefault="00B649B5">
            <w:pPr>
              <w:pStyle w:val="TableRow"/>
              <w:rPr>
                <w:b/>
                <w:bCs/>
                <w:color w:val="FF0000"/>
              </w:rPr>
            </w:pPr>
            <w:r w:rsidRPr="00B649B5">
              <w:rPr>
                <w:b/>
                <w:bCs/>
                <w:color w:val="auto"/>
              </w:rPr>
              <w:t>200</w:t>
            </w:r>
          </w:p>
        </w:tc>
      </w:tr>
      <w:tr w:rsidR="00E66558" w14:paraId="2A7D54C0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4BA88C1E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5A111950" w:rsidR="00E66558" w:rsidRDefault="00801D60">
            <w:pPr>
              <w:pStyle w:val="TableRow"/>
            </w:pPr>
            <w:r>
              <w:rPr>
                <w:b/>
              </w:rPr>
              <w:t>8.2</w:t>
            </w:r>
            <w:r w:rsidR="005947A0">
              <w:rPr>
                <w:b/>
              </w:rPr>
              <w:t>%</w:t>
            </w:r>
          </w:p>
        </w:tc>
      </w:tr>
      <w:tr w:rsidR="00E66558" w14:paraId="2A7D54C3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12F4AA31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(3</w:t>
            </w:r>
            <w:r w:rsidR="00080827">
              <w:rPr>
                <w:b/>
                <w:bCs/>
                <w:szCs w:val="22"/>
              </w:rPr>
              <w:t>-</w:t>
            </w:r>
            <w:r>
              <w:rPr>
                <w:b/>
                <w:bCs/>
                <w:szCs w:val="22"/>
              </w:rPr>
              <w:t>year plans are recommended)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AF762F6" w:rsidR="00E66558" w:rsidRDefault="003A7005">
            <w:pPr>
              <w:pStyle w:val="TableRow"/>
            </w:pPr>
            <w:r>
              <w:t>3</w:t>
            </w:r>
          </w:p>
        </w:tc>
      </w:tr>
      <w:tr w:rsidR="00E66558" w14:paraId="2A7D54C6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0BA06CD" w:rsidR="00FB6400" w:rsidRPr="00210DD2" w:rsidRDefault="001D31CE" w:rsidP="00DB5764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December 202</w:t>
            </w:r>
            <w:r w:rsidR="00CB7C64">
              <w:rPr>
                <w:color w:val="auto"/>
              </w:rPr>
              <w:t>4</w:t>
            </w:r>
          </w:p>
        </w:tc>
      </w:tr>
      <w:tr w:rsidR="00E66558" w14:paraId="2A7D54C9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3C9F5849" w:rsidR="00E66558" w:rsidRPr="00F80B0A" w:rsidRDefault="00041883">
            <w:pPr>
              <w:pStyle w:val="TableRow"/>
              <w:rPr>
                <w:color w:val="FF0000"/>
              </w:rPr>
            </w:pPr>
            <w:r w:rsidRPr="00041883">
              <w:rPr>
                <w:color w:val="000000" w:themeColor="text1"/>
              </w:rPr>
              <w:t>September 2027</w:t>
            </w:r>
          </w:p>
        </w:tc>
      </w:tr>
      <w:tr w:rsidR="00E66558" w14:paraId="2A7D54CC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58D68F05" w:rsidR="00E66558" w:rsidRDefault="00C651CE">
            <w:pPr>
              <w:pStyle w:val="TableRow"/>
            </w:pPr>
            <w:r>
              <w:t>LGB</w:t>
            </w:r>
          </w:p>
        </w:tc>
      </w:tr>
      <w:tr w:rsidR="00E66558" w14:paraId="2A7D54CF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4E14D5F7" w:rsidR="00E66558" w:rsidRDefault="00FB2BC2">
            <w:pPr>
              <w:pStyle w:val="TableRow"/>
            </w:pPr>
            <w:r>
              <w:t xml:space="preserve">Mr A </w:t>
            </w:r>
            <w:r w:rsidR="00FB6400">
              <w:t>Wilkes</w:t>
            </w:r>
          </w:p>
        </w:tc>
      </w:tr>
      <w:tr w:rsidR="00E66558" w14:paraId="2A7D54D2" w14:textId="77777777" w:rsidTr="47D3483D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749EDEBF" w:rsidR="00E66558" w:rsidRDefault="00041883">
            <w:pPr>
              <w:pStyle w:val="TableRow"/>
            </w:pPr>
            <w:r>
              <w:t xml:space="preserve">Mrs Jennifer </w:t>
            </w:r>
            <w:r w:rsidR="027EBA57">
              <w:t>N</w:t>
            </w:r>
            <w:r>
              <w:t>ock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1D2C3FF0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1D2C3FF0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74C4BCC" w:rsidR="00E66558" w:rsidRPr="00210DD2" w:rsidRDefault="009D71E8">
            <w:pPr>
              <w:pStyle w:val="TableRow"/>
              <w:rPr>
                <w:color w:val="auto"/>
              </w:rPr>
            </w:pPr>
            <w:r w:rsidRPr="00210DD2">
              <w:rPr>
                <w:color w:val="auto"/>
              </w:rPr>
              <w:t>£</w:t>
            </w:r>
            <w:r w:rsidR="004059E3">
              <w:rPr>
                <w:color w:val="auto"/>
              </w:rPr>
              <w:t>2</w:t>
            </w:r>
            <w:r w:rsidR="00801D60">
              <w:rPr>
                <w:color w:val="auto"/>
              </w:rPr>
              <w:t>5, 160</w:t>
            </w:r>
          </w:p>
        </w:tc>
      </w:tr>
      <w:tr w:rsidR="00E66558" w14:paraId="2A7D54DC" w14:textId="77777777" w:rsidTr="1D2C3FF0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DEBD47B" w:rsidR="00E66558" w:rsidRPr="00210DD2" w:rsidRDefault="009D71E8">
            <w:pPr>
              <w:pStyle w:val="TableRow"/>
              <w:rPr>
                <w:color w:val="auto"/>
              </w:rPr>
            </w:pPr>
            <w:r w:rsidRPr="00210DD2">
              <w:rPr>
                <w:color w:val="auto"/>
              </w:rPr>
              <w:t>£</w:t>
            </w:r>
            <w:r w:rsidR="00B435E5">
              <w:rPr>
                <w:b/>
                <w:bCs/>
                <w:color w:val="FF0000"/>
              </w:rPr>
              <w:t xml:space="preserve"> </w:t>
            </w:r>
            <w:r w:rsidR="00041883" w:rsidRPr="00041883">
              <w:rPr>
                <w:b/>
                <w:bCs/>
                <w:color w:val="000000" w:themeColor="text1"/>
              </w:rPr>
              <w:t>0</w:t>
            </w:r>
          </w:p>
        </w:tc>
      </w:tr>
      <w:tr w:rsidR="00E66558" w14:paraId="2A7D54DF" w14:textId="77777777" w:rsidTr="1D2C3FF0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FB372C3" w:rsidR="00E66558" w:rsidRPr="00210DD2" w:rsidRDefault="00E73356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£0</w:t>
            </w:r>
          </w:p>
        </w:tc>
      </w:tr>
      <w:tr w:rsidR="00E66558" w14:paraId="2A7D54E3" w14:textId="77777777" w:rsidTr="1D2C3FF0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lastRenderedPageBreak/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0D6AB2D3" w:rsidR="00E66558" w:rsidRPr="00210DD2" w:rsidRDefault="009D71E8">
            <w:pPr>
              <w:pStyle w:val="TableRow"/>
              <w:rPr>
                <w:color w:val="auto"/>
              </w:rPr>
            </w:pPr>
            <w:r w:rsidRPr="00210DD2">
              <w:rPr>
                <w:color w:val="auto"/>
              </w:rPr>
              <w:lastRenderedPageBreak/>
              <w:t>£</w:t>
            </w:r>
            <w:r w:rsidR="00B435E5">
              <w:rPr>
                <w:b/>
                <w:bCs/>
                <w:color w:val="FF0000"/>
              </w:rPr>
              <w:t xml:space="preserve"> </w:t>
            </w:r>
            <w:r w:rsidR="00041883">
              <w:rPr>
                <w:color w:val="auto"/>
              </w:rPr>
              <w:t>2</w:t>
            </w:r>
            <w:r w:rsidR="00801D60">
              <w:rPr>
                <w:color w:val="auto"/>
              </w:rPr>
              <w:t>5</w:t>
            </w:r>
            <w:r w:rsidR="00041883">
              <w:rPr>
                <w:color w:val="auto"/>
              </w:rPr>
              <w:t>,</w:t>
            </w:r>
            <w:r w:rsidR="00801D60">
              <w:rPr>
                <w:color w:val="auto"/>
              </w:rPr>
              <w:t>160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2FF7" w14:textId="55E786D8" w:rsidR="0054074B" w:rsidRPr="00ED70AB" w:rsidRDefault="00511535" w:rsidP="0054074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D70AB">
              <w:rPr>
                <w:sz w:val="22"/>
                <w:szCs w:val="22"/>
              </w:rPr>
              <w:t xml:space="preserve">Our </w:t>
            </w:r>
            <w:r w:rsidR="00410FD4" w:rsidRPr="00ED70AB">
              <w:rPr>
                <w:sz w:val="22"/>
                <w:szCs w:val="22"/>
              </w:rPr>
              <w:t xml:space="preserve">aim </w:t>
            </w:r>
            <w:r w:rsidR="00D55140" w:rsidRPr="00ED70AB">
              <w:rPr>
                <w:sz w:val="22"/>
                <w:szCs w:val="22"/>
              </w:rPr>
              <w:t xml:space="preserve">at St Joseph’s Catholic Primary School is to ensure that teaching and learning opportunities meet the needs of </w:t>
            </w:r>
            <w:proofErr w:type="gramStart"/>
            <w:r w:rsidR="00D55140" w:rsidRPr="00ED70AB">
              <w:rPr>
                <w:sz w:val="22"/>
                <w:szCs w:val="22"/>
              </w:rPr>
              <w:t>all of</w:t>
            </w:r>
            <w:proofErr w:type="gramEnd"/>
            <w:r w:rsidR="00D55140" w:rsidRPr="00ED70AB">
              <w:rPr>
                <w:sz w:val="22"/>
                <w:szCs w:val="22"/>
              </w:rPr>
              <w:t xml:space="preserve"> our pupils</w:t>
            </w:r>
            <w:r w:rsidR="009E53CE">
              <w:rPr>
                <w:sz w:val="22"/>
                <w:szCs w:val="22"/>
              </w:rPr>
              <w:t xml:space="preserve">, </w:t>
            </w:r>
            <w:r w:rsidR="00DE395F">
              <w:rPr>
                <w:sz w:val="22"/>
                <w:szCs w:val="22"/>
              </w:rPr>
              <w:t>with a strong focus on our disadvantaged pupils</w:t>
            </w:r>
            <w:r w:rsidR="00755EEA" w:rsidRPr="00ED70AB">
              <w:rPr>
                <w:sz w:val="22"/>
                <w:szCs w:val="22"/>
              </w:rPr>
              <w:t xml:space="preserve">. </w:t>
            </w:r>
            <w:r w:rsidR="00AB2902" w:rsidRPr="00ED70AB">
              <w:rPr>
                <w:sz w:val="22"/>
                <w:szCs w:val="22"/>
              </w:rPr>
              <w:t xml:space="preserve">All staff and members of the Local Governing Body are committed to meeting the academic, social and pastoral needs </w:t>
            </w:r>
            <w:r w:rsidR="0054074B" w:rsidRPr="00ED70AB">
              <w:rPr>
                <w:sz w:val="22"/>
                <w:szCs w:val="22"/>
              </w:rPr>
              <w:t xml:space="preserve">of our Pupil Premium pupils. </w:t>
            </w:r>
          </w:p>
          <w:p w14:paraId="2A0F32BF" w14:textId="0D3E42D9" w:rsidR="00D37947" w:rsidRPr="00ED70AB" w:rsidRDefault="0054074B" w:rsidP="0046633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D70AB">
              <w:rPr>
                <w:sz w:val="22"/>
                <w:szCs w:val="22"/>
              </w:rPr>
              <w:t>Each child at St Joseph’s Catholic Primary School is valued</w:t>
            </w:r>
            <w:r w:rsidR="00511535" w:rsidRPr="00ED70AB">
              <w:rPr>
                <w:sz w:val="22"/>
                <w:szCs w:val="22"/>
              </w:rPr>
              <w:t xml:space="preserve"> </w:t>
            </w:r>
            <w:r w:rsidR="00E46F09" w:rsidRPr="00ED70AB">
              <w:rPr>
                <w:sz w:val="22"/>
                <w:szCs w:val="22"/>
              </w:rPr>
              <w:t xml:space="preserve">and supported to achieve their full potential and </w:t>
            </w:r>
            <w:r w:rsidR="0046633B" w:rsidRPr="00ED70AB">
              <w:rPr>
                <w:sz w:val="22"/>
                <w:szCs w:val="22"/>
              </w:rPr>
              <w:t xml:space="preserve">further develop their God-given talents. </w:t>
            </w:r>
            <w:r w:rsidR="00DE395F" w:rsidRPr="00ED70AB">
              <w:rPr>
                <w:sz w:val="22"/>
                <w:szCs w:val="22"/>
              </w:rPr>
              <w:t>To</w:t>
            </w:r>
            <w:r w:rsidR="0046633B" w:rsidRPr="00ED70AB">
              <w:rPr>
                <w:sz w:val="22"/>
                <w:szCs w:val="22"/>
              </w:rPr>
              <w:t xml:space="preserve"> achieve this aim, </w:t>
            </w:r>
            <w:r w:rsidR="0081495B" w:rsidRPr="00ED70AB">
              <w:rPr>
                <w:sz w:val="22"/>
                <w:szCs w:val="22"/>
              </w:rPr>
              <w:t>we ensure th</w:t>
            </w:r>
            <w:r w:rsidR="00F7524A" w:rsidRPr="00ED70AB">
              <w:rPr>
                <w:sz w:val="22"/>
                <w:szCs w:val="22"/>
              </w:rPr>
              <w:t>at robust assessment takes place along with appropriate provision in line with the children</w:t>
            </w:r>
            <w:r w:rsidR="00D37947" w:rsidRPr="00ED70AB">
              <w:rPr>
                <w:sz w:val="22"/>
                <w:szCs w:val="22"/>
              </w:rPr>
              <w:t>’s needs.</w:t>
            </w:r>
          </w:p>
          <w:p w14:paraId="74CE18F1" w14:textId="77777777" w:rsidR="0029761B" w:rsidRPr="00ED70AB" w:rsidRDefault="00CC44C9" w:rsidP="0029761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D70AB">
              <w:rPr>
                <w:sz w:val="22"/>
                <w:szCs w:val="22"/>
              </w:rPr>
              <w:t xml:space="preserve">Pupil Premium funding will continue to be allocated following an </w:t>
            </w:r>
            <w:r w:rsidR="00FE7291" w:rsidRPr="00ED70AB">
              <w:rPr>
                <w:sz w:val="22"/>
                <w:szCs w:val="22"/>
              </w:rPr>
              <w:t>analysis of nee</w:t>
            </w:r>
            <w:r w:rsidR="007539F3" w:rsidRPr="00ED70AB">
              <w:rPr>
                <w:sz w:val="22"/>
                <w:szCs w:val="22"/>
              </w:rPr>
              <w:t>ds of groups and individuals.</w:t>
            </w:r>
          </w:p>
          <w:p w14:paraId="748BC0A5" w14:textId="77777777" w:rsidR="007539F3" w:rsidRPr="00ED70AB" w:rsidRDefault="007539F3" w:rsidP="007539F3">
            <w:pPr>
              <w:rPr>
                <w:sz w:val="22"/>
                <w:szCs w:val="22"/>
              </w:rPr>
            </w:pPr>
            <w:r w:rsidRPr="00ED70AB">
              <w:rPr>
                <w:sz w:val="22"/>
                <w:szCs w:val="22"/>
              </w:rPr>
              <w:t xml:space="preserve">The key principles </w:t>
            </w:r>
            <w:r w:rsidR="00E42FDF" w:rsidRPr="00ED70AB">
              <w:rPr>
                <w:sz w:val="22"/>
                <w:szCs w:val="22"/>
              </w:rPr>
              <w:t>of our strategy are as follows:</w:t>
            </w:r>
          </w:p>
          <w:p w14:paraId="2008D5E7" w14:textId="77777777" w:rsidR="00E42FDF" w:rsidRPr="00ED70AB" w:rsidRDefault="003F6AE1" w:rsidP="003F6AE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D70AB">
              <w:rPr>
                <w:sz w:val="22"/>
                <w:szCs w:val="22"/>
              </w:rPr>
              <w:t>To ensure that the gap between PP and Non-PP diminishes within Reading, Writing and Maths.</w:t>
            </w:r>
          </w:p>
          <w:p w14:paraId="172745B6" w14:textId="7C02FF45" w:rsidR="00065D49" w:rsidRPr="00ED70AB" w:rsidRDefault="00065D49" w:rsidP="003F6AE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D70AB">
              <w:rPr>
                <w:color w:val="000000"/>
                <w:sz w:val="22"/>
                <w:szCs w:val="22"/>
              </w:rPr>
              <w:t>To promote and prioritise</w:t>
            </w:r>
            <w:r w:rsidR="00A00E04">
              <w:rPr>
                <w:color w:val="000000"/>
                <w:sz w:val="22"/>
                <w:szCs w:val="22"/>
              </w:rPr>
              <w:t xml:space="preserve"> high quality</w:t>
            </w:r>
            <w:r w:rsidRPr="00ED70AB">
              <w:rPr>
                <w:color w:val="000000"/>
                <w:sz w:val="22"/>
                <w:szCs w:val="22"/>
              </w:rPr>
              <w:t xml:space="preserve"> teaching and learning across the school</w:t>
            </w:r>
            <w:r w:rsidR="00AD4085">
              <w:rPr>
                <w:color w:val="000000"/>
                <w:sz w:val="22"/>
                <w:szCs w:val="22"/>
              </w:rPr>
              <w:t>.</w:t>
            </w:r>
            <w:r w:rsidRPr="00ED70AB">
              <w:rPr>
                <w:color w:val="000000"/>
                <w:sz w:val="22"/>
                <w:szCs w:val="22"/>
              </w:rPr>
              <w:t xml:space="preserve"> </w:t>
            </w:r>
          </w:p>
          <w:p w14:paraId="44B7BF3E" w14:textId="4F11E174" w:rsidR="00065D49" w:rsidRPr="00ED70AB" w:rsidRDefault="00065D49" w:rsidP="003F6AE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D70AB">
              <w:rPr>
                <w:color w:val="000000"/>
                <w:sz w:val="22"/>
                <w:szCs w:val="22"/>
              </w:rPr>
              <w:t xml:space="preserve">To </w:t>
            </w:r>
            <w:r w:rsidR="00A00E04">
              <w:rPr>
                <w:color w:val="000000"/>
                <w:sz w:val="22"/>
                <w:szCs w:val="22"/>
              </w:rPr>
              <w:t>continue to support the</w:t>
            </w:r>
            <w:r w:rsidRPr="00ED70AB">
              <w:rPr>
                <w:color w:val="000000"/>
                <w:sz w:val="22"/>
                <w:szCs w:val="22"/>
              </w:rPr>
              <w:t xml:space="preserve"> mental health and well-being promot</w:t>
            </w:r>
            <w:r w:rsidR="00AD4085">
              <w:rPr>
                <w:color w:val="000000"/>
                <w:sz w:val="22"/>
                <w:szCs w:val="22"/>
              </w:rPr>
              <w:t>ing</w:t>
            </w:r>
            <w:r w:rsidRPr="00ED70AB">
              <w:rPr>
                <w:color w:val="000000"/>
                <w:sz w:val="22"/>
                <w:szCs w:val="22"/>
              </w:rPr>
              <w:t xml:space="preserve"> a positive school ethos. </w:t>
            </w:r>
          </w:p>
          <w:p w14:paraId="2A7D54E9" w14:textId="78F762E0" w:rsidR="003F6AE1" w:rsidRPr="003F6AE1" w:rsidRDefault="00065D49" w:rsidP="003F6AE1">
            <w:pPr>
              <w:pStyle w:val="ListParagraph"/>
              <w:numPr>
                <w:ilvl w:val="0"/>
                <w:numId w:val="15"/>
              </w:numPr>
              <w:rPr>
                <w:i/>
                <w:iCs/>
              </w:rPr>
            </w:pPr>
            <w:r w:rsidRPr="00ED70AB">
              <w:rPr>
                <w:color w:val="000000"/>
                <w:sz w:val="22"/>
                <w:szCs w:val="22"/>
              </w:rPr>
              <w:t>To develop communication</w:t>
            </w:r>
            <w:r w:rsidR="00857BEC">
              <w:rPr>
                <w:color w:val="000000"/>
                <w:sz w:val="22"/>
                <w:szCs w:val="22"/>
              </w:rPr>
              <w:t>,</w:t>
            </w:r>
            <w:r w:rsidRPr="00ED70AB">
              <w:rPr>
                <w:color w:val="000000"/>
                <w:sz w:val="22"/>
                <w:szCs w:val="22"/>
              </w:rPr>
              <w:t xml:space="preserve"> language</w:t>
            </w:r>
            <w:r w:rsidR="00857BEC">
              <w:rPr>
                <w:color w:val="000000"/>
                <w:sz w:val="22"/>
                <w:szCs w:val="22"/>
              </w:rPr>
              <w:t xml:space="preserve"> and oracy</w:t>
            </w:r>
            <w:r w:rsidRPr="00ED70AB">
              <w:rPr>
                <w:color w:val="000000"/>
                <w:sz w:val="22"/>
                <w:szCs w:val="22"/>
              </w:rPr>
              <w:t xml:space="preserve"> across the school with specific focus on Early Years and KS1.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AD22DBE" w:rsidR="00E66558" w:rsidRPr="00221E3F" w:rsidRDefault="00FB2BC2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21E3F" w:rsidRPr="00221E3F">
              <w:rPr>
                <w:sz w:val="22"/>
                <w:szCs w:val="22"/>
              </w:rPr>
              <w:t>upils processing and retention</w:t>
            </w:r>
            <w:r w:rsidR="00A96EAC">
              <w:rPr>
                <w:sz w:val="22"/>
                <w:szCs w:val="22"/>
              </w:rPr>
              <w:t xml:space="preserve"> of key knowledge across core subjects </w:t>
            </w:r>
            <w:r w:rsidR="00221E3F" w:rsidRPr="00221E3F">
              <w:rPr>
                <w:sz w:val="22"/>
                <w:szCs w:val="22"/>
              </w:rPr>
              <w:t xml:space="preserve">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550CCC57" w:rsidR="00E66558" w:rsidRPr="00221E3F" w:rsidRDefault="00221E3F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00221E3F">
              <w:rPr>
                <w:sz w:val="22"/>
                <w:szCs w:val="22"/>
              </w:rPr>
              <w:t xml:space="preserve">Pupils not achieving at least </w:t>
            </w:r>
            <w:r w:rsidR="003F0805">
              <w:rPr>
                <w:sz w:val="22"/>
                <w:szCs w:val="22"/>
              </w:rPr>
              <w:t>expected attainment and</w:t>
            </w:r>
            <w:r w:rsidRPr="00221E3F">
              <w:rPr>
                <w:sz w:val="22"/>
                <w:szCs w:val="22"/>
              </w:rPr>
              <w:t xml:space="preserve"> progress </w:t>
            </w:r>
            <w:r w:rsidR="00FB2BC2">
              <w:rPr>
                <w:sz w:val="22"/>
                <w:szCs w:val="22"/>
              </w:rPr>
              <w:t>across</w:t>
            </w:r>
            <w:r w:rsidRPr="00221E3F">
              <w:rPr>
                <w:sz w:val="22"/>
                <w:szCs w:val="22"/>
              </w:rPr>
              <w:t xml:space="preserve"> core subjects 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353BCCCF" w:rsidR="00E66558" w:rsidRPr="00221E3F" w:rsidRDefault="00221E3F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00221E3F">
              <w:rPr>
                <w:sz w:val="22"/>
                <w:szCs w:val="22"/>
              </w:rPr>
              <w:t>Pupils’ readiness for the next stage in their learning journey</w:t>
            </w:r>
          </w:p>
        </w:tc>
      </w:tr>
      <w:tr w:rsidR="00B72A12" w14:paraId="3D8420E0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B583" w14:textId="10EE0B5E" w:rsidR="00B72A12" w:rsidRDefault="00B72A12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383C" w14:textId="4861DD4B" w:rsidR="00B72A12" w:rsidRPr="00221E3F" w:rsidRDefault="00BA6FFC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children’s </w:t>
            </w:r>
            <w:r w:rsidR="00B66B85">
              <w:rPr>
                <w:sz w:val="22"/>
                <w:szCs w:val="22"/>
              </w:rPr>
              <w:t xml:space="preserve">mental health and wellbeing </w:t>
            </w:r>
            <w:r w:rsidR="004026CB">
              <w:rPr>
                <w:sz w:val="22"/>
                <w:szCs w:val="22"/>
              </w:rPr>
              <w:t xml:space="preserve">to lead to positive outcomes </w:t>
            </w:r>
          </w:p>
        </w:tc>
      </w:tr>
      <w:tr w:rsidR="00736F28" w14:paraId="537EB8A3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5A26" w14:textId="3F7E31F0" w:rsidR="00736F28" w:rsidRDefault="00736F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163B" w14:textId="612BC678" w:rsidR="00736F28" w:rsidRDefault="00140852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Engagement in homework and wider curriculum activities</w:t>
            </w:r>
          </w:p>
        </w:tc>
      </w:tr>
      <w:tr w:rsidR="00CE3DC5" w14:paraId="463DDAE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A9E2" w14:textId="4E03DBE2" w:rsidR="00CE3DC5" w:rsidRDefault="00CE3DC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0A96" w14:textId="40CF611A" w:rsidR="00CE3DC5" w:rsidRDefault="00F53669" w:rsidP="00221E3F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small number of our disadvantaged children </w:t>
            </w:r>
            <w:r w:rsidR="00CE462D">
              <w:rPr>
                <w:sz w:val="22"/>
                <w:szCs w:val="22"/>
              </w:rPr>
              <w:t>have lower attendance than non-disadvantaged pupils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lastRenderedPageBreak/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1DD0C1A9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1DD0C1A9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51FF228A" w:rsidR="00E66558" w:rsidRPr="00CE1BF3" w:rsidRDefault="00221E3F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E1BF3">
              <w:rPr>
                <w:sz w:val="22"/>
                <w:szCs w:val="22"/>
              </w:rPr>
              <w:t xml:space="preserve">upils to achieve at </w:t>
            </w:r>
            <w:proofErr w:type="gramStart"/>
            <w:r w:rsidR="0091167F">
              <w:rPr>
                <w:sz w:val="22"/>
                <w:szCs w:val="22"/>
              </w:rPr>
              <w:t xml:space="preserve">better than </w:t>
            </w:r>
            <w:r w:rsidR="00CE1BF3">
              <w:rPr>
                <w:sz w:val="22"/>
                <w:szCs w:val="22"/>
              </w:rPr>
              <w:t>expected</w:t>
            </w:r>
            <w:proofErr w:type="gramEnd"/>
            <w:r w:rsidR="00CE1BF3">
              <w:rPr>
                <w:sz w:val="22"/>
                <w:szCs w:val="22"/>
              </w:rPr>
              <w:t xml:space="preserve"> level of </w:t>
            </w:r>
            <w:r w:rsidR="00245127">
              <w:rPr>
                <w:sz w:val="22"/>
                <w:szCs w:val="22"/>
              </w:rPr>
              <w:t>progress</w:t>
            </w:r>
            <w:r w:rsidR="00CE1BF3">
              <w:rPr>
                <w:sz w:val="22"/>
                <w:szCs w:val="22"/>
              </w:rPr>
              <w:t xml:space="preserve"> in reading, writing and maths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4F0D4433" w:rsidR="005A54F1" w:rsidRDefault="00CE1BF3" w:rsidP="005A54F1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data to show that targeted pupil</w:t>
            </w:r>
            <w:r w:rsidR="00245127">
              <w:rPr>
                <w:sz w:val="22"/>
                <w:szCs w:val="22"/>
              </w:rPr>
              <w:t>s</w:t>
            </w:r>
            <w:r w:rsidR="00182D77">
              <w:rPr>
                <w:sz w:val="22"/>
                <w:szCs w:val="22"/>
              </w:rPr>
              <w:t xml:space="preserve"> will </w:t>
            </w:r>
            <w:r>
              <w:rPr>
                <w:sz w:val="22"/>
                <w:szCs w:val="22"/>
              </w:rPr>
              <w:t xml:space="preserve">achieve </w:t>
            </w:r>
            <w:r w:rsidR="0091167F">
              <w:rPr>
                <w:sz w:val="22"/>
                <w:szCs w:val="22"/>
              </w:rPr>
              <w:t>better than</w:t>
            </w:r>
            <w:r>
              <w:rPr>
                <w:sz w:val="22"/>
                <w:szCs w:val="22"/>
              </w:rPr>
              <w:t xml:space="preserve"> expected progress in reading, writing and maths</w:t>
            </w:r>
          </w:p>
        </w:tc>
      </w:tr>
      <w:tr w:rsidR="00E66558" w14:paraId="2A7D5509" w14:textId="77777777" w:rsidTr="1DD0C1A9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437AF827" w:rsidR="00E66558" w:rsidRPr="00CE1BF3" w:rsidRDefault="00CE1BF3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</w:t>
            </w:r>
            <w:r w:rsidR="00221E3F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pupils’ emotional health and well-being 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3462" w14:textId="10F54414" w:rsidR="00E66558" w:rsidRDefault="00CE1BF3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levels</w:t>
            </w:r>
            <w:r w:rsidR="00182D77">
              <w:rPr>
                <w:sz w:val="22"/>
                <w:szCs w:val="22"/>
              </w:rPr>
              <w:t xml:space="preserve"> of attendance </w:t>
            </w:r>
          </w:p>
          <w:p w14:paraId="35E3F986" w14:textId="63A20E77" w:rsidR="00CE1BF3" w:rsidRDefault="00680949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21E3F">
              <w:rPr>
                <w:sz w:val="22"/>
                <w:szCs w:val="22"/>
              </w:rPr>
              <w:t>upil voice</w:t>
            </w:r>
            <w:r>
              <w:rPr>
                <w:sz w:val="22"/>
                <w:szCs w:val="22"/>
              </w:rPr>
              <w:t xml:space="preserve"> demonstrates a positive learning att</w:t>
            </w:r>
            <w:r w:rsidR="00ED2BD4">
              <w:rPr>
                <w:sz w:val="22"/>
                <w:szCs w:val="22"/>
              </w:rPr>
              <w:t>itude</w:t>
            </w:r>
          </w:p>
          <w:p w14:paraId="2ACCCFFF" w14:textId="77777777" w:rsidR="00221E3F" w:rsidRDefault="00221E3F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readiness for the next stage in their education journey</w:t>
            </w:r>
          </w:p>
          <w:p w14:paraId="04B94422" w14:textId="77777777" w:rsidR="003F4D88" w:rsidRDefault="003F4D88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Pupils</w:t>
            </w:r>
            <w:proofErr w:type="gramEnd"/>
            <w:r>
              <w:rPr>
                <w:sz w:val="22"/>
                <w:szCs w:val="22"/>
              </w:rPr>
              <w:t xml:space="preserve"> personal development </w:t>
            </w:r>
            <w:r w:rsidR="00D477F3">
              <w:rPr>
                <w:sz w:val="22"/>
                <w:szCs w:val="22"/>
              </w:rPr>
              <w:t>is excellent and leads to good outcomes</w:t>
            </w:r>
          </w:p>
          <w:p w14:paraId="2A7D5508" w14:textId="48613B9E" w:rsidR="008B4D98" w:rsidRDefault="00BE32D6" w:rsidP="008B4D98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Emotional Literacy Support Assistant </w:t>
            </w:r>
            <w:r w:rsidR="008B4D98">
              <w:rPr>
                <w:sz w:val="22"/>
                <w:szCs w:val="22"/>
              </w:rPr>
              <w:t xml:space="preserve">has a positive impact with improved attendance </w:t>
            </w:r>
            <w:r w:rsidR="00815042">
              <w:rPr>
                <w:sz w:val="22"/>
                <w:szCs w:val="22"/>
              </w:rPr>
              <w:t>levels, and pupil outcomes</w:t>
            </w:r>
          </w:p>
        </w:tc>
      </w:tr>
      <w:tr w:rsidR="00140852" w14:paraId="510851F4" w14:textId="77777777" w:rsidTr="1DD0C1A9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3B3E" w14:textId="6EDDE966" w:rsidR="00140852" w:rsidRDefault="00544A92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</w:t>
            </w:r>
            <w:r w:rsidR="00774F75">
              <w:rPr>
                <w:sz w:val="22"/>
                <w:szCs w:val="22"/>
              </w:rPr>
              <w:t xml:space="preserve">inue to increase the attendance and punctuality of PP children 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A067" w14:textId="7C98D00A" w:rsidR="00140852" w:rsidRDefault="003268FD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 monitoring </w:t>
            </w:r>
            <w:proofErr w:type="gramStart"/>
            <w:r>
              <w:rPr>
                <w:sz w:val="22"/>
                <w:szCs w:val="22"/>
              </w:rPr>
              <w:t>evidences</w:t>
            </w:r>
            <w:proofErr w:type="gramEnd"/>
            <w:r>
              <w:rPr>
                <w:sz w:val="22"/>
                <w:szCs w:val="22"/>
              </w:rPr>
              <w:t xml:space="preserve"> that </w:t>
            </w:r>
            <w:r w:rsidR="0091167F">
              <w:rPr>
                <w:sz w:val="22"/>
                <w:szCs w:val="22"/>
              </w:rPr>
              <w:t xml:space="preserve">disadvantaged children’s </w:t>
            </w:r>
            <w:r w:rsidR="00796255">
              <w:rPr>
                <w:sz w:val="22"/>
                <w:szCs w:val="22"/>
              </w:rPr>
              <w:t xml:space="preserve">attendance increases </w:t>
            </w:r>
            <w:r w:rsidR="00F34E07">
              <w:rPr>
                <w:sz w:val="22"/>
                <w:szCs w:val="22"/>
              </w:rPr>
              <w:t xml:space="preserve">across the year – </w:t>
            </w:r>
            <w:r w:rsidR="00F3390D">
              <w:rPr>
                <w:sz w:val="22"/>
                <w:szCs w:val="22"/>
              </w:rPr>
              <w:t>with a reduction in persistent absence for disadvantaged children</w:t>
            </w:r>
          </w:p>
        </w:tc>
      </w:tr>
      <w:tr w:rsidR="00140852" w14:paraId="68129733" w14:textId="77777777" w:rsidTr="1DD0C1A9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6AD4" w14:textId="67214850" w:rsidR="00140852" w:rsidRDefault="007371B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 Premium pupils’ attainment to be in line with or better than </w:t>
            </w:r>
            <w:r w:rsidR="0054710A">
              <w:rPr>
                <w:sz w:val="22"/>
                <w:szCs w:val="22"/>
              </w:rPr>
              <w:t>non-pupil</w:t>
            </w:r>
            <w:r>
              <w:rPr>
                <w:sz w:val="22"/>
                <w:szCs w:val="22"/>
              </w:rPr>
              <w:t xml:space="preserve"> premium pupils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8B4B" w14:textId="14F330EB" w:rsidR="00140852" w:rsidRDefault="007371B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Attainment measures on the school’s tracking system</w:t>
            </w:r>
            <w:r w:rsidR="00C65A10">
              <w:rPr>
                <w:sz w:val="22"/>
                <w:szCs w:val="22"/>
              </w:rPr>
              <w:t xml:space="preserve"> (Insight)</w:t>
            </w:r>
            <w:r>
              <w:rPr>
                <w:sz w:val="22"/>
                <w:szCs w:val="22"/>
              </w:rPr>
              <w:t xml:space="preserve"> </w:t>
            </w:r>
            <w:r w:rsidR="00A44C4F">
              <w:rPr>
                <w:sz w:val="22"/>
                <w:szCs w:val="22"/>
              </w:rPr>
              <w:t>indicate same or better attainment</w:t>
            </w:r>
            <w:r w:rsidR="0091167F">
              <w:rPr>
                <w:sz w:val="22"/>
                <w:szCs w:val="22"/>
              </w:rPr>
              <w:t xml:space="preserve"> than non-disadvantaged children</w:t>
            </w:r>
            <w:r w:rsidR="005A54F1">
              <w:rPr>
                <w:sz w:val="22"/>
                <w:szCs w:val="22"/>
              </w:rPr>
              <w:t xml:space="preserve"> and in line with national averages with an aspiration to reach Emmaus 90% target</w:t>
            </w:r>
          </w:p>
          <w:p w14:paraId="166627D3" w14:textId="288FA635" w:rsidR="00880BAF" w:rsidRDefault="3CCBA88B">
            <w:pPr>
              <w:pStyle w:val="TableRowCentered"/>
              <w:jc w:val="left"/>
              <w:rPr>
                <w:sz w:val="22"/>
                <w:szCs w:val="22"/>
              </w:rPr>
            </w:pPr>
            <w:proofErr w:type="spellStart"/>
            <w:r w:rsidRPr="1DD0C1A9">
              <w:rPr>
                <w:sz w:val="22"/>
                <w:szCs w:val="22"/>
              </w:rPr>
              <w:t>Edukey</w:t>
            </w:r>
            <w:proofErr w:type="spellEnd"/>
            <w:r w:rsidRPr="1DD0C1A9">
              <w:rPr>
                <w:sz w:val="22"/>
                <w:szCs w:val="22"/>
              </w:rPr>
              <w:t xml:space="preserve"> </w:t>
            </w:r>
            <w:r w:rsidR="00880BAF" w:rsidRPr="1DD0C1A9">
              <w:rPr>
                <w:sz w:val="22"/>
                <w:szCs w:val="22"/>
              </w:rPr>
              <w:t>Provision maps</w:t>
            </w:r>
            <w:r w:rsidR="00686B9C" w:rsidRPr="1DD0C1A9">
              <w:rPr>
                <w:sz w:val="22"/>
                <w:szCs w:val="22"/>
              </w:rPr>
              <w:t xml:space="preserve"> demonstrate positive progress </w:t>
            </w:r>
            <w:r w:rsidR="00486856" w:rsidRPr="1DD0C1A9">
              <w:rPr>
                <w:sz w:val="22"/>
                <w:szCs w:val="22"/>
              </w:rPr>
              <w:t>within intervention groups</w:t>
            </w:r>
            <w:r w:rsidR="005A54F1" w:rsidRPr="1DD0C1A9">
              <w:rPr>
                <w:sz w:val="22"/>
                <w:szCs w:val="22"/>
              </w:rPr>
              <w:t xml:space="preserve"> as evidenced through robust tracking</w:t>
            </w:r>
            <w:r w:rsidR="17D7B0AF" w:rsidRPr="1DD0C1A9">
              <w:rPr>
                <w:sz w:val="22"/>
                <w:szCs w:val="22"/>
              </w:rPr>
              <w:t xml:space="preserve"> – including evidenced by PP Teaching Assistant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3FAADBC1" w:rsidR="00E66558" w:rsidRPr="00210DD2" w:rsidRDefault="009D71E8">
      <w:pPr>
        <w:rPr>
          <w:color w:val="auto"/>
        </w:rPr>
      </w:pPr>
      <w:r w:rsidRPr="00210DD2">
        <w:rPr>
          <w:color w:val="auto"/>
        </w:rPr>
        <w:t>Budgeted cost: £</w:t>
      </w:r>
      <w:r w:rsidR="006725C7">
        <w:rPr>
          <w:color w:val="auto"/>
        </w:rPr>
        <w:t>3, 207</w:t>
      </w:r>
      <w:r w:rsidR="00423765">
        <w:rPr>
          <w:color w:val="auto"/>
        </w:rPr>
        <w:t>.00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1DD0C1A9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1DD0C1A9">
        <w:trPr>
          <w:trHeight w:val="1692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2AED" w14:textId="5717F003" w:rsidR="00E66558" w:rsidRDefault="004962C6">
            <w:pPr>
              <w:pStyle w:val="TableRow"/>
              <w:rPr>
                <w:sz w:val="22"/>
                <w:szCs w:val="22"/>
              </w:rPr>
            </w:pPr>
            <w:r w:rsidRPr="004962C6">
              <w:rPr>
                <w:sz w:val="22"/>
                <w:szCs w:val="22"/>
              </w:rPr>
              <w:t>Ongoing programme of CP</w:t>
            </w:r>
            <w:r w:rsidR="00730CAF">
              <w:rPr>
                <w:sz w:val="22"/>
                <w:szCs w:val="22"/>
              </w:rPr>
              <w:t>DF</w:t>
            </w:r>
            <w:r w:rsidRPr="00496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staff</w:t>
            </w:r>
            <w:r w:rsidR="00174296">
              <w:rPr>
                <w:sz w:val="22"/>
                <w:szCs w:val="22"/>
              </w:rPr>
              <w:t>:</w:t>
            </w:r>
          </w:p>
          <w:p w14:paraId="0463689C" w14:textId="77777777" w:rsidR="004962C6" w:rsidRDefault="004962C6" w:rsidP="00C24F2B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2842E17B" w14:textId="5D6FEA01" w:rsidR="00F61566" w:rsidRDefault="00F61566" w:rsidP="00F61566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</w:t>
            </w:r>
            <w:r w:rsidR="004962C6">
              <w:rPr>
                <w:sz w:val="22"/>
                <w:szCs w:val="22"/>
              </w:rPr>
              <w:t xml:space="preserve"> providers to support all staff CPD</w:t>
            </w:r>
            <w:r w:rsidR="00730CAF">
              <w:rPr>
                <w:sz w:val="22"/>
                <w:szCs w:val="22"/>
              </w:rPr>
              <w:t>F</w:t>
            </w:r>
            <w:r w:rsidR="004962C6">
              <w:rPr>
                <w:sz w:val="22"/>
                <w:szCs w:val="22"/>
              </w:rPr>
              <w:t xml:space="preserve"> i.e. Catholic Primary Partnership, Stourbridge Learning Partnership, </w:t>
            </w:r>
            <w:r w:rsidR="000F53F3">
              <w:rPr>
                <w:sz w:val="22"/>
                <w:szCs w:val="22"/>
              </w:rPr>
              <w:t>Dudley MBC, Emmaus CMAC,</w:t>
            </w:r>
            <w:r w:rsidR="00131BB1">
              <w:rPr>
                <w:sz w:val="22"/>
                <w:szCs w:val="22"/>
              </w:rPr>
              <w:t xml:space="preserve"> Emo</w:t>
            </w:r>
            <w:r w:rsidR="00F37201">
              <w:rPr>
                <w:sz w:val="22"/>
                <w:szCs w:val="22"/>
              </w:rPr>
              <w:t xml:space="preserve">tional Literacy Support Assistant training </w:t>
            </w:r>
            <w:proofErr w:type="gramStart"/>
            <w:r w:rsidR="00F37201">
              <w:rPr>
                <w:sz w:val="22"/>
                <w:szCs w:val="22"/>
              </w:rPr>
              <w:t xml:space="preserve">provider, </w:t>
            </w:r>
            <w:r w:rsidR="000F53F3">
              <w:rPr>
                <w:sz w:val="22"/>
                <w:szCs w:val="22"/>
              </w:rPr>
              <w:t xml:space="preserve"> National</w:t>
            </w:r>
            <w:proofErr w:type="gramEnd"/>
            <w:r w:rsidR="000F53F3">
              <w:rPr>
                <w:sz w:val="22"/>
                <w:szCs w:val="22"/>
              </w:rPr>
              <w:t xml:space="preserve"> College</w:t>
            </w:r>
            <w:r w:rsidR="00C91098">
              <w:rPr>
                <w:sz w:val="22"/>
                <w:szCs w:val="22"/>
              </w:rPr>
              <w:t>, Ofsted research published materials, EEF</w:t>
            </w:r>
            <w:r>
              <w:rPr>
                <w:sz w:val="22"/>
                <w:szCs w:val="22"/>
              </w:rPr>
              <w:t>,</w:t>
            </w:r>
            <w:r w:rsidR="00C910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MAC and Township Coordinator Meetings</w:t>
            </w:r>
          </w:p>
          <w:p w14:paraId="2A7D551A" w14:textId="28D0FE42" w:rsidR="004962C6" w:rsidRPr="004962C6" w:rsidRDefault="004962C6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6122" w14:textId="5C3B92B3" w:rsidR="00826C73" w:rsidRDefault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School is</w:t>
            </w:r>
            <w:r w:rsidR="00F37201">
              <w:rPr>
                <w:sz w:val="22"/>
              </w:rPr>
              <w:t xml:space="preserve"> </w:t>
            </w:r>
            <w:r w:rsidR="00503823">
              <w:rPr>
                <w:sz w:val="22"/>
              </w:rPr>
              <w:t>continuing to</w:t>
            </w:r>
            <w:r>
              <w:rPr>
                <w:sz w:val="22"/>
              </w:rPr>
              <w:t xml:space="preserve"> follow best practice/current research in terms of its pedagogical approach to</w:t>
            </w:r>
            <w:r w:rsidR="00D03635">
              <w:rPr>
                <w:sz w:val="22"/>
              </w:rPr>
              <w:t xml:space="preserve"> high quality</w:t>
            </w:r>
            <w:r>
              <w:rPr>
                <w:sz w:val="22"/>
              </w:rPr>
              <w:t xml:space="preserve"> teaching and learning</w:t>
            </w:r>
            <w:r w:rsidR="00503823">
              <w:rPr>
                <w:sz w:val="22"/>
              </w:rPr>
              <w:t xml:space="preserve"> to ensure that gap between </w:t>
            </w:r>
            <w:r w:rsidR="00C71098">
              <w:rPr>
                <w:sz w:val="22"/>
              </w:rPr>
              <w:t>disadvantaged</w:t>
            </w:r>
            <w:r w:rsidR="00503823">
              <w:rPr>
                <w:sz w:val="22"/>
              </w:rPr>
              <w:t xml:space="preserve"> and non-</w:t>
            </w:r>
            <w:r w:rsidR="00C71098">
              <w:rPr>
                <w:sz w:val="22"/>
              </w:rPr>
              <w:t>disadvantaged</w:t>
            </w:r>
            <w:r w:rsidR="00503823">
              <w:rPr>
                <w:sz w:val="22"/>
              </w:rPr>
              <w:t xml:space="preserve"> pupils</w:t>
            </w:r>
            <w:r w:rsidR="00C71098">
              <w:rPr>
                <w:sz w:val="22"/>
              </w:rPr>
              <w:t xml:space="preserve"> decreases.</w:t>
            </w:r>
          </w:p>
          <w:p w14:paraId="06FE5F49" w14:textId="679A2785" w:rsidR="00826C73" w:rsidRDefault="00826C73">
            <w:pPr>
              <w:pStyle w:val="TableRowCentered"/>
              <w:jc w:val="left"/>
              <w:rPr>
                <w:sz w:val="22"/>
              </w:rPr>
            </w:pPr>
          </w:p>
          <w:p w14:paraId="043762C5" w14:textId="68D9B08D" w:rsidR="00730CAF" w:rsidRDefault="00826C73" w:rsidP="00730CA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This will include:</w:t>
            </w:r>
          </w:p>
          <w:p w14:paraId="025712C7" w14:textId="77777777" w:rsidR="00730CAF" w:rsidRDefault="00730CAF" w:rsidP="00730CAF">
            <w:pPr>
              <w:pStyle w:val="TableRowCentered"/>
              <w:jc w:val="left"/>
              <w:rPr>
                <w:sz w:val="22"/>
              </w:rPr>
            </w:pPr>
          </w:p>
          <w:p w14:paraId="06CFF7E4" w14:textId="29847095" w:rsidR="00E66558" w:rsidRDefault="00D455C4" w:rsidP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Further embed</w:t>
            </w:r>
            <w:r w:rsidR="008F412E">
              <w:rPr>
                <w:sz w:val="22"/>
              </w:rPr>
              <w:t xml:space="preserve"> our pedagogical approach</w:t>
            </w:r>
            <w:r w:rsidR="009B2087">
              <w:rPr>
                <w:sz w:val="22"/>
              </w:rPr>
              <w:t xml:space="preserve">es </w:t>
            </w:r>
            <w:r w:rsidR="00C514A5">
              <w:rPr>
                <w:sz w:val="22"/>
              </w:rPr>
              <w:t xml:space="preserve">in school that are rooted in best practice and </w:t>
            </w:r>
            <w:proofErr w:type="gramStart"/>
            <w:r w:rsidR="00C514A5">
              <w:rPr>
                <w:sz w:val="22"/>
              </w:rPr>
              <w:t>research</w:t>
            </w:r>
            <w:r w:rsidR="008D2B9E">
              <w:rPr>
                <w:sz w:val="22"/>
              </w:rPr>
              <w:t>;</w:t>
            </w:r>
            <w:proofErr w:type="gramEnd"/>
            <w:r w:rsidR="008D2B9E">
              <w:rPr>
                <w:sz w:val="22"/>
              </w:rPr>
              <w:t xml:space="preserve"> </w:t>
            </w:r>
            <w:r w:rsidR="009A2C68">
              <w:rPr>
                <w:sz w:val="22"/>
              </w:rPr>
              <w:t xml:space="preserve">including the use of further resources to support our focus on Tom </w:t>
            </w:r>
            <w:r w:rsidR="005231DD">
              <w:rPr>
                <w:sz w:val="22"/>
              </w:rPr>
              <w:t>Sherrington’s</w:t>
            </w:r>
            <w:r w:rsidR="009A2C68">
              <w:rPr>
                <w:sz w:val="22"/>
              </w:rPr>
              <w:t xml:space="preserve"> WALKTHRUs</w:t>
            </w:r>
            <w:r w:rsidR="006A432A">
              <w:rPr>
                <w:sz w:val="22"/>
              </w:rPr>
              <w:t xml:space="preserve"> with a focus on teaching and learning</w:t>
            </w:r>
            <w:r w:rsidR="008D2B9E">
              <w:rPr>
                <w:sz w:val="22"/>
              </w:rPr>
              <w:t>.</w:t>
            </w:r>
          </w:p>
          <w:p w14:paraId="2B8B5522" w14:textId="77777777" w:rsidR="008F412E" w:rsidRDefault="008F412E" w:rsidP="00826C73">
            <w:pPr>
              <w:pStyle w:val="TableRowCentered"/>
              <w:jc w:val="left"/>
              <w:rPr>
                <w:sz w:val="22"/>
              </w:rPr>
            </w:pPr>
          </w:p>
          <w:p w14:paraId="13839249" w14:textId="45EF6520" w:rsidR="008F412E" w:rsidRDefault="008F412E" w:rsidP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Supporting subject leaders </w:t>
            </w:r>
            <w:r w:rsidR="0017417C">
              <w:rPr>
                <w:sz w:val="22"/>
              </w:rPr>
              <w:t>with current best practice within the subjects that they lead and</w:t>
            </w:r>
            <w:r w:rsidR="009A2C68">
              <w:rPr>
                <w:sz w:val="22"/>
              </w:rPr>
              <w:t xml:space="preserve"> CPD for staff</w:t>
            </w:r>
            <w:r w:rsidR="00F53B21">
              <w:rPr>
                <w:sz w:val="22"/>
              </w:rPr>
              <w:t xml:space="preserve"> – including the release of subject leaders</w:t>
            </w:r>
            <w:r w:rsidR="00890750">
              <w:rPr>
                <w:sz w:val="22"/>
              </w:rPr>
              <w:t xml:space="preserve"> – to continue to embed a culture of learning and scholarship throughout school, leading to high quality </w:t>
            </w:r>
            <w:r w:rsidR="00C91098">
              <w:rPr>
                <w:sz w:val="22"/>
              </w:rPr>
              <w:t>teaching and assessment to respond to the</w:t>
            </w:r>
            <w:r w:rsidR="00FB0ECE">
              <w:rPr>
                <w:sz w:val="22"/>
              </w:rPr>
              <w:t xml:space="preserve"> emerging</w:t>
            </w:r>
            <w:r w:rsidR="00C91098">
              <w:rPr>
                <w:sz w:val="22"/>
              </w:rPr>
              <w:t xml:space="preserve"> needs of pupils</w:t>
            </w:r>
            <w:r w:rsidR="00FB0ECE">
              <w:rPr>
                <w:sz w:val="22"/>
              </w:rPr>
              <w:t xml:space="preserve"> – with an aim of ensuring that outcomes for pupil premium children improve.</w:t>
            </w:r>
          </w:p>
          <w:p w14:paraId="75A0E95B" w14:textId="39254231" w:rsidR="00C108AD" w:rsidRDefault="00C108AD" w:rsidP="00826C73">
            <w:pPr>
              <w:pStyle w:val="TableRowCentered"/>
              <w:jc w:val="left"/>
              <w:rPr>
                <w:sz w:val="22"/>
              </w:rPr>
            </w:pPr>
          </w:p>
          <w:p w14:paraId="28BE0FB6" w14:textId="208DBC0E" w:rsidR="005231DD" w:rsidRDefault="005231DD" w:rsidP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Embedding </w:t>
            </w:r>
            <w:r w:rsidR="001F4D73">
              <w:rPr>
                <w:sz w:val="22"/>
              </w:rPr>
              <w:t xml:space="preserve">of CPD for teachers and support staff in which they are focused on support, </w:t>
            </w:r>
            <w:r w:rsidR="006C4C84">
              <w:rPr>
                <w:sz w:val="22"/>
              </w:rPr>
              <w:t xml:space="preserve">a </w:t>
            </w:r>
            <w:r w:rsidR="001F4D73">
              <w:rPr>
                <w:sz w:val="22"/>
              </w:rPr>
              <w:t xml:space="preserve">consistent approach to teaching and </w:t>
            </w:r>
            <w:r w:rsidR="00F53B21">
              <w:rPr>
                <w:sz w:val="22"/>
              </w:rPr>
              <w:t>learning and developing next steps as a team</w:t>
            </w:r>
            <w:r w:rsidR="00A91DF4">
              <w:rPr>
                <w:sz w:val="22"/>
              </w:rPr>
              <w:t xml:space="preserve"> including delivery by senior leaders and subject leaders.</w:t>
            </w:r>
          </w:p>
          <w:p w14:paraId="21AFD251" w14:textId="77777777" w:rsidR="00C62036" w:rsidRDefault="00C62036" w:rsidP="00C6203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77120255" w14:textId="1B120A37" w:rsidR="00C62036" w:rsidRDefault="00C62036" w:rsidP="00C6203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Emotional Literacy Support Assistant training for </w:t>
            </w:r>
            <w:r w:rsidR="003A44AD">
              <w:rPr>
                <w:sz w:val="22"/>
              </w:rPr>
              <w:t xml:space="preserve">teaching assistant </w:t>
            </w:r>
            <w:r w:rsidR="00FB0ECE">
              <w:rPr>
                <w:sz w:val="22"/>
              </w:rPr>
              <w:t xml:space="preserve">to </w:t>
            </w:r>
            <w:r w:rsidR="008F2DB6">
              <w:rPr>
                <w:sz w:val="22"/>
              </w:rPr>
              <w:t xml:space="preserve">support children’s complex needs that have </w:t>
            </w:r>
            <w:r w:rsidR="008F2DB6">
              <w:rPr>
                <w:sz w:val="22"/>
              </w:rPr>
              <w:lastRenderedPageBreak/>
              <w:t>em</w:t>
            </w:r>
            <w:r w:rsidR="00870797">
              <w:rPr>
                <w:sz w:val="22"/>
              </w:rPr>
              <w:t>e</w:t>
            </w:r>
            <w:r w:rsidR="008F2DB6">
              <w:rPr>
                <w:sz w:val="22"/>
              </w:rPr>
              <w:t xml:space="preserve">rged, leading to improved outcomes </w:t>
            </w:r>
            <w:proofErr w:type="gramStart"/>
            <w:r w:rsidR="008F2DB6">
              <w:rPr>
                <w:sz w:val="22"/>
              </w:rPr>
              <w:t xml:space="preserve">and </w:t>
            </w:r>
            <w:r w:rsidR="00870797">
              <w:rPr>
                <w:sz w:val="22"/>
              </w:rPr>
              <w:t xml:space="preserve"> children</w:t>
            </w:r>
            <w:proofErr w:type="gramEnd"/>
            <w:r w:rsidR="00870797">
              <w:rPr>
                <w:sz w:val="22"/>
              </w:rPr>
              <w:t xml:space="preserve"> who are secure in their environment and prepared for their next stage in education. </w:t>
            </w:r>
          </w:p>
          <w:p w14:paraId="45FF920F" w14:textId="77777777" w:rsidR="003A44AD" w:rsidRDefault="003A44AD" w:rsidP="00C6203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3DEED460" w14:textId="026F2398" w:rsidR="003A44AD" w:rsidRDefault="00182891" w:rsidP="00C6203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Supporting pupils</w:t>
            </w:r>
            <w:r w:rsidR="006F2AFD">
              <w:rPr>
                <w:sz w:val="22"/>
              </w:rPr>
              <w:t xml:space="preserve">’ social, emotional and behavioural needs with </w:t>
            </w:r>
            <w:r w:rsidR="008934BD">
              <w:rPr>
                <w:sz w:val="22"/>
              </w:rPr>
              <w:t xml:space="preserve">further CPD in Emotional Literacy Support Assistant (1 </w:t>
            </w:r>
            <w:proofErr w:type="gramStart"/>
            <w:r w:rsidR="008934BD">
              <w:rPr>
                <w:sz w:val="22"/>
              </w:rPr>
              <w:t>adult)training</w:t>
            </w:r>
            <w:proofErr w:type="gramEnd"/>
            <w:r w:rsidR="008934BD">
              <w:rPr>
                <w:sz w:val="22"/>
              </w:rPr>
              <w:t xml:space="preserve"> and restraint (3 adults)</w:t>
            </w:r>
          </w:p>
          <w:p w14:paraId="09B98D8A" w14:textId="77777777" w:rsidR="00C62036" w:rsidRDefault="00C62036" w:rsidP="00C6203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69AFCA9A" w14:textId="3C16DF1C" w:rsidR="005261A9" w:rsidRDefault="33A35BD4" w:rsidP="1DD0C1A9">
            <w:pPr>
              <w:pStyle w:val="TableRowCentered"/>
              <w:jc w:val="left"/>
              <w:rPr>
                <w:sz w:val="22"/>
                <w:szCs w:val="22"/>
              </w:rPr>
            </w:pPr>
            <w:r w:rsidRPr="1DD0C1A9">
              <w:rPr>
                <w:sz w:val="22"/>
                <w:szCs w:val="22"/>
              </w:rPr>
              <w:t>CPD provided to staff by Mental Health Leader</w:t>
            </w:r>
            <w:r w:rsidR="20E65B82" w:rsidRPr="1DD0C1A9">
              <w:rPr>
                <w:sz w:val="22"/>
                <w:szCs w:val="22"/>
              </w:rPr>
              <w:t xml:space="preserve"> and ELSA</w:t>
            </w:r>
            <w:r w:rsidRPr="1DD0C1A9">
              <w:rPr>
                <w:sz w:val="22"/>
                <w:szCs w:val="22"/>
              </w:rPr>
              <w:t xml:space="preserve"> – developing skills to support </w:t>
            </w:r>
            <w:r w:rsidR="234379C7" w:rsidRPr="1DD0C1A9">
              <w:rPr>
                <w:sz w:val="22"/>
                <w:szCs w:val="22"/>
              </w:rPr>
              <w:t>pupils within and outside school</w:t>
            </w:r>
            <w:r w:rsidR="5C4C3341" w:rsidRPr="1DD0C1A9">
              <w:rPr>
                <w:sz w:val="22"/>
                <w:szCs w:val="22"/>
              </w:rPr>
              <w:t xml:space="preserve"> </w:t>
            </w:r>
            <w:r w:rsidR="4A47C593" w:rsidRPr="1DD0C1A9">
              <w:rPr>
                <w:sz w:val="22"/>
                <w:szCs w:val="22"/>
              </w:rPr>
              <w:t xml:space="preserve">to increase cultural </w:t>
            </w:r>
            <w:proofErr w:type="spellStart"/>
            <w:r w:rsidR="4A47C593" w:rsidRPr="1DD0C1A9">
              <w:rPr>
                <w:sz w:val="22"/>
                <w:szCs w:val="22"/>
              </w:rPr>
              <w:t>captial</w:t>
            </w:r>
            <w:proofErr w:type="spellEnd"/>
            <w:r w:rsidR="4A47C593" w:rsidRPr="1DD0C1A9">
              <w:rPr>
                <w:sz w:val="22"/>
                <w:szCs w:val="22"/>
              </w:rPr>
              <w:t xml:space="preserve"> and prepare the children for their next stage in education</w:t>
            </w:r>
          </w:p>
          <w:p w14:paraId="2A7D551B" w14:textId="73659627" w:rsidR="000F53F3" w:rsidRDefault="000F53F3" w:rsidP="00657152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2D802BA7" w:rsidR="00E66558" w:rsidRDefault="004962C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AD2FCC">
              <w:rPr>
                <w:sz w:val="22"/>
              </w:rPr>
              <w:t>, 2</w:t>
            </w:r>
            <w:r w:rsidR="00226BB2">
              <w:rPr>
                <w:sz w:val="22"/>
              </w:rPr>
              <w:t>,</w:t>
            </w:r>
            <w:r w:rsidR="00AD2FCC">
              <w:rPr>
                <w:sz w:val="22"/>
              </w:rPr>
              <w:t xml:space="preserve"> 3</w:t>
            </w:r>
            <w:r w:rsidR="00226BB2">
              <w:rPr>
                <w:sz w:val="22"/>
              </w:rPr>
              <w:t>,4,</w:t>
            </w:r>
            <w:r w:rsidR="00BC466C">
              <w:rPr>
                <w:sz w:val="22"/>
              </w:rPr>
              <w:t xml:space="preserve"> 5</w:t>
            </w:r>
            <w:r w:rsidR="00226BB2">
              <w:rPr>
                <w:sz w:val="22"/>
              </w:rPr>
              <w:t xml:space="preserve"> 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705499AA" w:rsidR="00E66558" w:rsidRPr="00210DD2" w:rsidRDefault="009D71E8">
      <w:pPr>
        <w:rPr>
          <w:color w:val="auto"/>
        </w:rPr>
      </w:pPr>
      <w:r w:rsidRPr="00210DD2">
        <w:rPr>
          <w:color w:val="auto"/>
        </w:rPr>
        <w:t>Budgeted cost: £</w:t>
      </w:r>
      <w:r w:rsidR="00423765">
        <w:rPr>
          <w:color w:val="auto"/>
        </w:rPr>
        <w:t>18, 553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22ED51F6" w:rsidR="00E66558" w:rsidRPr="00247466" w:rsidRDefault="00387985" w:rsidP="00387985">
            <w:pPr>
              <w:pStyle w:val="TableRow"/>
              <w:ind w:left="0"/>
              <w:rPr>
                <w:sz w:val="22"/>
                <w:szCs w:val="22"/>
              </w:rPr>
            </w:pPr>
            <w:r w:rsidRPr="00247466">
              <w:rPr>
                <w:sz w:val="22"/>
                <w:szCs w:val="22"/>
              </w:rPr>
              <w:t xml:space="preserve">One-to-one tuition support for identified children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DCA1" w14:textId="0A552E08" w:rsidR="00E66558" w:rsidRDefault="00387985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>Termly Pupil Progress Review meetings</w:t>
            </w:r>
            <w:r w:rsidR="7927D21A" w:rsidRPr="3FDF4F1A">
              <w:rPr>
                <w:sz w:val="22"/>
                <w:szCs w:val="22"/>
              </w:rPr>
              <w:t xml:space="preserve"> to include a focus on attainment, progress and attendance. </w:t>
            </w:r>
            <w:r w:rsidRPr="3FDF4F1A">
              <w:rPr>
                <w:sz w:val="22"/>
                <w:szCs w:val="22"/>
              </w:rPr>
              <w:t xml:space="preserve"> </w:t>
            </w:r>
          </w:p>
          <w:p w14:paraId="0CCDD0B8" w14:textId="77777777" w:rsidR="00826C73" w:rsidRDefault="00826C73">
            <w:pPr>
              <w:pStyle w:val="TableRowCentered"/>
              <w:jc w:val="left"/>
              <w:rPr>
                <w:sz w:val="22"/>
              </w:rPr>
            </w:pPr>
          </w:p>
          <w:p w14:paraId="1ABAD9EF" w14:textId="77777777" w:rsidR="00826C73" w:rsidRDefault="00826C73" w:rsidP="00826C73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Staff ongoing assessments of pupils’ progress and attainment – identified gaps in learning</w:t>
            </w:r>
            <w:r w:rsidR="00247466">
              <w:rPr>
                <w:sz w:val="22"/>
              </w:rPr>
              <w:t xml:space="preserve"> (termly data drops</w:t>
            </w:r>
            <w:r w:rsidR="00410DD5">
              <w:rPr>
                <w:sz w:val="22"/>
              </w:rPr>
              <w:t xml:space="preserve"> within </w:t>
            </w:r>
            <w:r w:rsidR="008A09AA">
              <w:rPr>
                <w:sz w:val="22"/>
              </w:rPr>
              <w:t>Insigh</w:t>
            </w:r>
            <w:r w:rsidR="006760C2">
              <w:rPr>
                <w:sz w:val="22"/>
              </w:rPr>
              <w:t>t</w:t>
            </w:r>
            <w:r w:rsidR="00247466">
              <w:rPr>
                <w:sz w:val="22"/>
              </w:rPr>
              <w:t>)</w:t>
            </w:r>
            <w:r w:rsidR="00EA69BE">
              <w:rPr>
                <w:sz w:val="22"/>
              </w:rPr>
              <w:t>.</w:t>
            </w:r>
          </w:p>
          <w:p w14:paraId="04455BA4" w14:textId="77777777" w:rsidR="006760C2" w:rsidRDefault="006760C2" w:rsidP="00826C73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2A7D552A" w14:textId="18E1FA40" w:rsidR="006760C2" w:rsidRDefault="006760C2" w:rsidP="00826C73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Data analysis and question level analysis from assessments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22163D5" w:rsidR="00E66558" w:rsidRDefault="00221E3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826C73">
              <w:rPr>
                <w:sz w:val="22"/>
              </w:rPr>
              <w:t>, 2 and 3</w:t>
            </w:r>
          </w:p>
        </w:tc>
      </w:tr>
      <w:tr w:rsidR="00E66558" w14:paraId="2A7D5530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0A941CA2" w:rsidR="0058238E" w:rsidRPr="00387985" w:rsidRDefault="00387985" w:rsidP="0058238E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Targeted </w:t>
            </w:r>
            <w:r w:rsidR="0066165E">
              <w:rPr>
                <w:sz w:val="22"/>
              </w:rPr>
              <w:t xml:space="preserve">small </w:t>
            </w:r>
            <w:r>
              <w:rPr>
                <w:sz w:val="22"/>
              </w:rPr>
              <w:t>group support with key mathematics skills and knowledge</w:t>
            </w:r>
            <w:r w:rsidR="00170734">
              <w:rPr>
                <w:sz w:val="22"/>
              </w:rPr>
              <w:t xml:space="preserve"> </w:t>
            </w:r>
            <w:r w:rsidR="00F20865">
              <w:rPr>
                <w:sz w:val="22"/>
              </w:rPr>
              <w:t xml:space="preserve">– ongoing </w:t>
            </w:r>
            <w:r w:rsidR="00170734">
              <w:rPr>
                <w:sz w:val="22"/>
              </w:rPr>
              <w:t>pre-teach and re-teach</w:t>
            </w:r>
            <w:r w:rsidR="00F20865">
              <w:rPr>
                <w:sz w:val="22"/>
              </w:rPr>
              <w:t xml:space="preserve"> sessions with </w:t>
            </w:r>
            <w:proofErr w:type="spellStart"/>
            <w:r w:rsidR="00F20865">
              <w:rPr>
                <w:sz w:val="22"/>
              </w:rPr>
              <w:t>T</w:t>
            </w:r>
            <w:r w:rsidR="00AC3A2F">
              <w:rPr>
                <w:sz w:val="22"/>
              </w:rPr>
              <w:t>A</w:t>
            </w:r>
            <w:r w:rsidR="00F20865">
              <w:rPr>
                <w:sz w:val="22"/>
              </w:rPr>
              <w:t>s</w:t>
            </w:r>
            <w:r w:rsidR="0058238E">
              <w:rPr>
                <w:sz w:val="22"/>
              </w:rPr>
              <w:t>.</w:t>
            </w:r>
            <w:proofErr w:type="spellEnd"/>
            <w:r w:rsidR="0058238E">
              <w:rPr>
                <w:sz w:val="22"/>
              </w:rPr>
              <w:t xml:space="preserve"> Additional interventions or 1:1 where needed.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DF53" w14:textId="23754D45" w:rsidR="00F20865" w:rsidRDefault="00F20865" w:rsidP="00F20865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Termly Pupil Progress Review meetings</w:t>
            </w:r>
            <w:r w:rsidR="00331EB1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556F4473" w14:textId="77777777" w:rsidR="00F20865" w:rsidRDefault="00F20865" w:rsidP="00F20865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6C6F11B7" w14:textId="590DEE96" w:rsidR="00826C73" w:rsidRDefault="00387985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>Staff ongoing assessments of pupils’ progress and attainment – identified gaps in learning</w:t>
            </w:r>
            <w:r w:rsidR="00247466" w:rsidRPr="3FDF4F1A">
              <w:rPr>
                <w:sz w:val="22"/>
                <w:szCs w:val="22"/>
              </w:rPr>
              <w:t xml:space="preserve"> (termly </w:t>
            </w:r>
            <w:r w:rsidR="00410DD5" w:rsidRPr="3FDF4F1A">
              <w:rPr>
                <w:sz w:val="22"/>
                <w:szCs w:val="22"/>
              </w:rPr>
              <w:t xml:space="preserve">data drops within </w:t>
            </w:r>
            <w:r w:rsidR="3B4E82C3" w:rsidRPr="3FDF4F1A">
              <w:rPr>
                <w:sz w:val="22"/>
                <w:szCs w:val="22"/>
              </w:rPr>
              <w:t>Insight</w:t>
            </w:r>
            <w:r w:rsidR="00410DD5" w:rsidRPr="3FDF4F1A">
              <w:rPr>
                <w:sz w:val="22"/>
                <w:szCs w:val="22"/>
              </w:rPr>
              <w:t>)</w:t>
            </w:r>
            <w:r w:rsidR="00EA69BE" w:rsidRPr="3FDF4F1A">
              <w:rPr>
                <w:sz w:val="22"/>
                <w:szCs w:val="22"/>
              </w:rPr>
              <w:t>.</w:t>
            </w:r>
          </w:p>
          <w:p w14:paraId="2A7D552E" w14:textId="46B69A17" w:rsidR="00332E79" w:rsidRDefault="00332E79" w:rsidP="00332E7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8138B33" w:rsidR="00E66558" w:rsidRDefault="00221E3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826C73">
              <w:rPr>
                <w:sz w:val="22"/>
              </w:rPr>
              <w:t>, 2 and 3</w:t>
            </w:r>
          </w:p>
        </w:tc>
      </w:tr>
      <w:tr w:rsidR="00826C73" w14:paraId="606829D7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6528" w14:textId="3CA9DA2E" w:rsidR="00826C73" w:rsidRDefault="00826C73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Targeted </w:t>
            </w:r>
            <w:r w:rsidR="0066165E">
              <w:rPr>
                <w:sz w:val="22"/>
              </w:rPr>
              <w:t xml:space="preserve">small </w:t>
            </w:r>
            <w:r>
              <w:rPr>
                <w:sz w:val="22"/>
              </w:rPr>
              <w:t>group support with key English skills</w:t>
            </w:r>
            <w:r w:rsidR="00F20865">
              <w:rPr>
                <w:sz w:val="22"/>
              </w:rPr>
              <w:t xml:space="preserve"> – ongoing </w:t>
            </w:r>
            <w:r w:rsidR="00170734">
              <w:rPr>
                <w:sz w:val="22"/>
              </w:rPr>
              <w:t>pre-teach and re-teach</w:t>
            </w:r>
            <w:r w:rsidR="00F20865">
              <w:rPr>
                <w:sz w:val="22"/>
              </w:rPr>
              <w:t xml:space="preserve"> sessions with </w:t>
            </w:r>
            <w:proofErr w:type="spellStart"/>
            <w:r w:rsidR="00F20865">
              <w:rPr>
                <w:sz w:val="22"/>
              </w:rPr>
              <w:t>T</w:t>
            </w:r>
            <w:r w:rsidR="00AC3A2F">
              <w:rPr>
                <w:sz w:val="22"/>
              </w:rPr>
              <w:t>A</w:t>
            </w:r>
            <w:r w:rsidR="00F20865">
              <w:rPr>
                <w:sz w:val="22"/>
              </w:rPr>
              <w:t>s</w:t>
            </w:r>
            <w:r w:rsidR="00AC3A2F">
              <w:rPr>
                <w:sz w:val="22"/>
              </w:rPr>
              <w:t>.</w:t>
            </w:r>
            <w:proofErr w:type="spellEnd"/>
            <w:r w:rsidR="00AC3A2F">
              <w:rPr>
                <w:sz w:val="22"/>
              </w:rPr>
              <w:t xml:space="preserve"> </w:t>
            </w:r>
            <w:r w:rsidR="00AC3A2F">
              <w:rPr>
                <w:sz w:val="22"/>
              </w:rPr>
              <w:lastRenderedPageBreak/>
              <w:t>Additional interventions or 1:1 where needed.</w:t>
            </w:r>
          </w:p>
          <w:p w14:paraId="4CE4BE9A" w14:textId="41D499A1" w:rsidR="00826C73" w:rsidRDefault="00826C73" w:rsidP="00826C73">
            <w:pPr>
              <w:pStyle w:val="TableRow"/>
              <w:ind w:lef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315D" w14:textId="66221E11" w:rsidR="00826C73" w:rsidRDefault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Termly Pupil Progress Review meetings</w:t>
            </w:r>
            <w:r w:rsidR="00331EB1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16E3E546" w14:textId="77777777" w:rsidR="00826C73" w:rsidRDefault="00826C73">
            <w:pPr>
              <w:pStyle w:val="TableRowCentered"/>
              <w:jc w:val="left"/>
              <w:rPr>
                <w:sz w:val="22"/>
              </w:rPr>
            </w:pPr>
          </w:p>
          <w:p w14:paraId="56756AA3" w14:textId="52CBA344" w:rsidR="00826C73" w:rsidRDefault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Staff ongoing assessments of pupils’ progress and attainment – identified </w:t>
            </w:r>
            <w:r>
              <w:rPr>
                <w:sz w:val="22"/>
              </w:rPr>
              <w:lastRenderedPageBreak/>
              <w:t>gaps in learning</w:t>
            </w:r>
            <w:r w:rsidR="00410DD5">
              <w:rPr>
                <w:sz w:val="22"/>
              </w:rPr>
              <w:t xml:space="preserve"> (termly data drops within MIS)</w:t>
            </w:r>
            <w:r w:rsidR="00EA69BE">
              <w:rPr>
                <w:sz w:val="22"/>
              </w:rPr>
              <w:t>.</w:t>
            </w:r>
          </w:p>
          <w:p w14:paraId="7E70EC23" w14:textId="318AFEAD" w:rsidR="00C1068F" w:rsidRDefault="00C1068F" w:rsidP="00C1068F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04E2" w14:textId="5670FCD7" w:rsidR="00826C73" w:rsidRDefault="00826C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 2 and 3</w:t>
            </w:r>
          </w:p>
        </w:tc>
      </w:tr>
      <w:tr w:rsidR="000324D5" w14:paraId="663E02EA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D4B9" w14:textId="6D8E29A7" w:rsidR="00737348" w:rsidRPr="00737348" w:rsidRDefault="00737348" w:rsidP="0073734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>Boosters in place to help address the gaps 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 xml:space="preserve">knowledge </w:t>
            </w:r>
            <w:r w:rsidR="00A04894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>dentified though Pupil Progress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>meetings.</w:t>
            </w:r>
          </w:p>
          <w:p w14:paraId="32C34669" w14:textId="1799AFD2" w:rsidR="00737348" w:rsidRPr="00737348" w:rsidRDefault="00737348" w:rsidP="0073734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>Small group and 1:1 support implemented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7348">
              <w:rPr>
                <w:rFonts w:ascii="Arial" w:hAnsi="Arial" w:cs="Arial"/>
                <w:color w:val="000000"/>
                <w:sz w:val="22"/>
                <w:szCs w:val="22"/>
              </w:rPr>
              <w:t>across the school for PP pupils</w:t>
            </w:r>
          </w:p>
          <w:p w14:paraId="3A4EBDE6" w14:textId="77777777" w:rsidR="000324D5" w:rsidRDefault="000324D5">
            <w:pPr>
              <w:pStyle w:val="TableRow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F106" w14:textId="4424CCA5" w:rsidR="000324D5" w:rsidRDefault="0073734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Small group </w:t>
            </w:r>
            <w:r w:rsidR="00CD5002">
              <w:rPr>
                <w:sz w:val="22"/>
              </w:rPr>
              <w:t xml:space="preserve">sizes </w:t>
            </w:r>
            <w:r w:rsidR="00284C30">
              <w:rPr>
                <w:sz w:val="22"/>
              </w:rPr>
              <w:t>to provide more opportunities for teachers to</w:t>
            </w:r>
            <w:r w:rsidR="005B71D6">
              <w:rPr>
                <w:sz w:val="22"/>
              </w:rPr>
              <w:t xml:space="preserve"> address gaps and</w:t>
            </w:r>
            <w:r w:rsidR="00284C30">
              <w:rPr>
                <w:sz w:val="22"/>
              </w:rPr>
              <w:t xml:space="preserve"> </w:t>
            </w:r>
            <w:r w:rsidR="00AA33FA">
              <w:rPr>
                <w:sz w:val="22"/>
              </w:rPr>
              <w:t xml:space="preserve">develop new skills and approaches </w:t>
            </w:r>
            <w:r w:rsidR="006C1E5B">
              <w:rPr>
                <w:sz w:val="22"/>
              </w:rPr>
              <w:t>for learners</w:t>
            </w:r>
            <w:r w:rsidR="00EA69BE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7687" w14:textId="47E98AEA" w:rsidR="000324D5" w:rsidRDefault="00A0489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 and 3</w:t>
            </w:r>
          </w:p>
        </w:tc>
      </w:tr>
    </w:tbl>
    <w:p w14:paraId="564B4BE0" w14:textId="77777777" w:rsidR="005B71D6" w:rsidRDefault="005B71D6">
      <w:pPr>
        <w:rPr>
          <w:b/>
          <w:color w:val="104F75"/>
          <w:sz w:val="28"/>
          <w:szCs w:val="28"/>
        </w:rPr>
      </w:pPr>
    </w:p>
    <w:p w14:paraId="2A7D5532" w14:textId="21AAA6FF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0946F63D" w:rsidR="00E66558" w:rsidRPr="00210DD2" w:rsidRDefault="009D71E8">
      <w:pPr>
        <w:spacing w:before="240" w:after="120"/>
        <w:rPr>
          <w:color w:val="auto"/>
        </w:rPr>
      </w:pPr>
      <w:r w:rsidRPr="00210DD2">
        <w:rPr>
          <w:color w:val="auto"/>
        </w:rPr>
        <w:t>Budgeted cost: £</w:t>
      </w:r>
      <w:r w:rsidR="00423765">
        <w:rPr>
          <w:color w:val="auto"/>
        </w:rPr>
        <w:t xml:space="preserve"> 3, 400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F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6404E195" w:rsidR="00E66558" w:rsidRPr="00F80B0A" w:rsidRDefault="00F80B0A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One-to-one support for children to help with transition </w:t>
            </w:r>
            <w:r w:rsidR="00FC27E0">
              <w:rPr>
                <w:sz w:val="22"/>
              </w:rPr>
              <w:t>(</w:t>
            </w:r>
            <w:r w:rsidR="00D17EE5">
              <w:rPr>
                <w:sz w:val="22"/>
              </w:rPr>
              <w:t xml:space="preserve">including </w:t>
            </w:r>
            <w:r w:rsidR="00300E9E">
              <w:rPr>
                <w:sz w:val="22"/>
              </w:rPr>
              <w:t>Emotional Literacy Support</w:t>
            </w:r>
            <w:r w:rsidR="00D17EE5">
              <w:rPr>
                <w:sz w:val="22"/>
              </w:rPr>
              <w:t xml:space="preserve"> and Learning Support Service</w:t>
            </w:r>
            <w:r w:rsidR="00FC27E0">
              <w:rPr>
                <w:sz w:val="22"/>
              </w:rPr>
              <w:t>)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7919" w14:textId="1ACFF0F5" w:rsidR="00E66558" w:rsidRDefault="00F80B0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Pupil voice and staff ongoing </w:t>
            </w:r>
            <w:r w:rsidR="00FC27E0">
              <w:rPr>
                <w:sz w:val="22"/>
              </w:rPr>
              <w:t xml:space="preserve">assessment </w:t>
            </w:r>
            <w:r>
              <w:rPr>
                <w:sz w:val="22"/>
              </w:rPr>
              <w:t>of pupils’ well-being</w:t>
            </w:r>
            <w:r w:rsidR="00331EB1">
              <w:rPr>
                <w:sz w:val="22"/>
              </w:rPr>
              <w:t>.</w:t>
            </w:r>
          </w:p>
          <w:p w14:paraId="6B4250AF" w14:textId="77777777" w:rsidR="00875993" w:rsidRDefault="00875993">
            <w:pPr>
              <w:pStyle w:val="TableRowCentered"/>
              <w:jc w:val="left"/>
              <w:rPr>
                <w:sz w:val="22"/>
              </w:rPr>
            </w:pPr>
          </w:p>
          <w:p w14:paraId="2A7D553D" w14:textId="365B954F" w:rsidR="00875993" w:rsidRDefault="0087599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Staff ongoing assessment of pupils (outcomes at the end of the academic year)</w:t>
            </w:r>
            <w:r w:rsidR="00331EB1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224DBA6B" w:rsidR="00E66558" w:rsidRDefault="00DA472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4, 5</w:t>
            </w:r>
          </w:p>
        </w:tc>
      </w:tr>
      <w:tr w:rsidR="00FC27E0" w14:paraId="72D529CE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8361" w14:textId="5EAF6C14" w:rsidR="00875993" w:rsidRDefault="00C81EE1" w:rsidP="00C81EE1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Ongoing mental health and well-being support from SENCo and senior mental health lead</w:t>
            </w:r>
          </w:p>
          <w:p w14:paraId="1FECCBA3" w14:textId="77777777" w:rsidR="00875993" w:rsidRDefault="00875993">
            <w:pPr>
              <w:pStyle w:val="TableRow"/>
              <w:rPr>
                <w:sz w:val="22"/>
              </w:rPr>
            </w:pPr>
          </w:p>
          <w:p w14:paraId="68B4DA6D" w14:textId="665B41E6" w:rsidR="00CC0A9F" w:rsidRPr="0079011F" w:rsidRDefault="00CC0A9F" w:rsidP="00CC0A9F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0A9F">
              <w:rPr>
                <w:rFonts w:ascii="Arial" w:hAnsi="Arial" w:cs="Arial"/>
                <w:color w:val="000000"/>
                <w:sz w:val="22"/>
                <w:szCs w:val="22"/>
              </w:rPr>
              <w:t>Wellbeing Interventions set up across the school to address social skills</w:t>
            </w:r>
          </w:p>
          <w:p w14:paraId="63ABA091" w14:textId="51425E82" w:rsidR="00CC0A9F" w:rsidRDefault="00CC0A9F">
            <w:pPr>
              <w:pStyle w:val="TableRow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196C" w14:textId="727BDB47" w:rsidR="00157EF8" w:rsidRDefault="00157EF8" w:rsidP="00157EF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Pupil voice and staff ongoing assessment of pupils’ well-being</w:t>
            </w:r>
            <w:r w:rsidR="00331EB1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5881166E" w14:textId="77777777" w:rsidR="00157EF8" w:rsidRDefault="00157EF8" w:rsidP="00157EF8">
            <w:pPr>
              <w:pStyle w:val="TableRowCentered"/>
              <w:jc w:val="left"/>
              <w:rPr>
                <w:sz w:val="22"/>
              </w:rPr>
            </w:pPr>
          </w:p>
          <w:p w14:paraId="421CCF01" w14:textId="14981BFF" w:rsidR="00FC27E0" w:rsidRDefault="00157EF8" w:rsidP="00157EF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Staff ongoing assessment of pupils (outcomes at the end of the academic year)</w:t>
            </w:r>
            <w:r w:rsidR="00331EB1">
              <w:rPr>
                <w:sz w:val="22"/>
              </w:rPr>
              <w:t>.</w:t>
            </w:r>
          </w:p>
          <w:p w14:paraId="796A98A4" w14:textId="77777777" w:rsidR="0079011F" w:rsidRDefault="0079011F" w:rsidP="00157EF8">
            <w:pPr>
              <w:pStyle w:val="TableRowCentered"/>
              <w:jc w:val="left"/>
              <w:rPr>
                <w:sz w:val="22"/>
              </w:rPr>
            </w:pPr>
          </w:p>
          <w:p w14:paraId="4A3BCF0A" w14:textId="2A76BA03" w:rsidR="0079011F" w:rsidRDefault="0079011F" w:rsidP="00157EF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School-level approaches to develop</w:t>
            </w:r>
            <w:r w:rsidR="00B35494">
              <w:rPr>
                <w:sz w:val="22"/>
              </w:rPr>
              <w:t>ing a positive school ethos, which also aim to support greater engagement in learning, attendance and homework</w:t>
            </w:r>
            <w:r w:rsidR="00331EB1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8FD7" w14:textId="09521E19" w:rsidR="00FC27E0" w:rsidRDefault="00B35494" w:rsidP="00FC27E0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4, 5</w:t>
            </w:r>
          </w:p>
        </w:tc>
      </w:tr>
      <w:tr w:rsidR="004B00CF" w14:paraId="1043D842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E75D" w14:textId="144991D2" w:rsidR="00852525" w:rsidRPr="00852525" w:rsidRDefault="00852525" w:rsidP="00852525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2525">
              <w:rPr>
                <w:rFonts w:ascii="Arial" w:hAnsi="Arial" w:cs="Arial"/>
                <w:color w:val="000000"/>
                <w:sz w:val="22"/>
                <w:szCs w:val="22"/>
              </w:rPr>
              <w:t xml:space="preserve">Training and reintroduction of </w:t>
            </w:r>
            <w:r w:rsidR="005E2957">
              <w:rPr>
                <w:rFonts w:ascii="Arial" w:hAnsi="Arial" w:cs="Arial"/>
                <w:color w:val="000000"/>
                <w:sz w:val="22"/>
                <w:szCs w:val="22"/>
              </w:rPr>
              <w:t>Junior PCSOs</w:t>
            </w:r>
          </w:p>
          <w:p w14:paraId="00BB274A" w14:textId="5C30C0C1" w:rsidR="00852525" w:rsidRPr="00852525" w:rsidRDefault="00852525" w:rsidP="00852525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2525">
              <w:rPr>
                <w:rFonts w:ascii="Arial" w:hAnsi="Arial" w:cs="Arial"/>
                <w:color w:val="000000"/>
                <w:sz w:val="22"/>
                <w:szCs w:val="22"/>
              </w:rPr>
              <w:t>to aid the development of the children’s self-e</w:t>
            </w:r>
            <w:r w:rsidR="00324EB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852525">
              <w:rPr>
                <w:rFonts w:ascii="Arial" w:hAnsi="Arial" w:cs="Arial"/>
                <w:color w:val="000000"/>
                <w:sz w:val="22"/>
                <w:szCs w:val="22"/>
              </w:rPr>
              <w:t>teem, resilience, confidence 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52525">
              <w:rPr>
                <w:rFonts w:ascii="Arial" w:hAnsi="Arial" w:cs="Arial"/>
                <w:color w:val="000000"/>
                <w:sz w:val="22"/>
                <w:szCs w:val="22"/>
              </w:rPr>
              <w:t>teamwork.</w:t>
            </w:r>
          </w:p>
          <w:p w14:paraId="40A60331" w14:textId="77777777" w:rsidR="004B00CF" w:rsidRDefault="004B00CF" w:rsidP="00C81EE1">
            <w:pPr>
              <w:pStyle w:val="TableRow"/>
              <w:ind w:lef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7A9" w14:textId="5C7881D4" w:rsidR="00822632" w:rsidRPr="00574B10" w:rsidRDefault="1798C0F3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>PCSOs from WM police</w:t>
            </w:r>
            <w:r w:rsidR="0FACC4A5" w:rsidRPr="3FDF4F1A">
              <w:rPr>
                <w:sz w:val="22"/>
                <w:szCs w:val="22"/>
              </w:rPr>
              <w:t xml:space="preserve"> (support by Vice Principal)</w:t>
            </w:r>
            <w:r w:rsidRPr="3FDF4F1A">
              <w:rPr>
                <w:sz w:val="22"/>
                <w:szCs w:val="22"/>
              </w:rPr>
              <w:t xml:space="preserve"> to provide tr</w:t>
            </w:r>
            <w:r w:rsidR="759966DD" w:rsidRPr="3FDF4F1A">
              <w:rPr>
                <w:sz w:val="22"/>
                <w:szCs w:val="22"/>
              </w:rPr>
              <w:t>aining and embed effective practice of leading and delivering this programme</w:t>
            </w:r>
            <w:r w:rsidR="38930D18" w:rsidRPr="3FDF4F1A">
              <w:rPr>
                <w:sz w:val="22"/>
                <w:szCs w:val="22"/>
              </w:rPr>
              <w:t xml:space="preserve"> as evidenced through personal development curriculum and pupil voice</w:t>
            </w:r>
            <w:r w:rsidR="00331EB1" w:rsidRPr="3FDF4F1A">
              <w:rPr>
                <w:sz w:val="22"/>
                <w:szCs w:val="22"/>
              </w:rPr>
              <w:t>.</w:t>
            </w:r>
          </w:p>
          <w:p w14:paraId="3BD533A9" w14:textId="598AAA95" w:rsidR="004B00CF" w:rsidRPr="00574B10" w:rsidRDefault="004B00CF" w:rsidP="00574B10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B175" w14:textId="360D19DE" w:rsidR="004B00CF" w:rsidRDefault="007203F5" w:rsidP="00FC27E0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4, 5</w:t>
            </w:r>
          </w:p>
        </w:tc>
      </w:tr>
      <w:tr w:rsidR="00083031" w14:paraId="46C26BA2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AD7E" w14:textId="2E403892" w:rsidR="00F409AE" w:rsidRPr="00F409AE" w:rsidRDefault="00F409AE" w:rsidP="00F409A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Support in ensuring PP children </w:t>
            </w:r>
            <w:proofErr w:type="gramStart"/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proofErr w:type="gramEnd"/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 xml:space="preserve"> able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 xml:space="preserve">engage in school trips and after school </w:t>
            </w:r>
            <w:r w:rsidR="00004AB0">
              <w:rPr>
                <w:rFonts w:ascii="Arial" w:hAnsi="Arial" w:cs="Arial"/>
                <w:color w:val="000000"/>
                <w:sz w:val="22"/>
                <w:szCs w:val="22"/>
              </w:rPr>
              <w:t>clubs</w:t>
            </w: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47F66BE" w14:textId="39C79488" w:rsidR="00F409AE" w:rsidRPr="00F409AE" w:rsidRDefault="00F409AE" w:rsidP="00F409A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>Providing support where needed to improve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>attendance in these activities across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409AE">
              <w:rPr>
                <w:rFonts w:ascii="Arial" w:hAnsi="Arial" w:cs="Arial"/>
                <w:color w:val="000000"/>
                <w:sz w:val="22"/>
                <w:szCs w:val="22"/>
              </w:rPr>
              <w:t>school year.</w:t>
            </w:r>
          </w:p>
          <w:p w14:paraId="38512F2B" w14:textId="77777777" w:rsidR="00083031" w:rsidRPr="00852525" w:rsidRDefault="00083031" w:rsidP="00852525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5E63" w14:textId="550A8DBC" w:rsidR="00083031" w:rsidRDefault="6E599739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 xml:space="preserve">Provide </w:t>
            </w:r>
            <w:proofErr w:type="gramStart"/>
            <w:r w:rsidRPr="3FDF4F1A">
              <w:rPr>
                <w:sz w:val="22"/>
                <w:szCs w:val="22"/>
              </w:rPr>
              <w:t>a number of</w:t>
            </w:r>
            <w:proofErr w:type="gramEnd"/>
            <w:r w:rsidRPr="3FDF4F1A">
              <w:rPr>
                <w:sz w:val="22"/>
                <w:szCs w:val="22"/>
              </w:rPr>
              <w:t xml:space="preserve"> academic and wider experiences for Pupil Premium children</w:t>
            </w:r>
            <w:r w:rsidR="379D280F" w:rsidRPr="3FDF4F1A">
              <w:rPr>
                <w:sz w:val="22"/>
                <w:szCs w:val="22"/>
              </w:rPr>
              <w:t xml:space="preserve"> as evidenced through personal development curriculum document</w:t>
            </w:r>
            <w:r w:rsidR="39EFF1A4" w:rsidRPr="3FDF4F1A">
              <w:rPr>
                <w:sz w:val="22"/>
                <w:szCs w:val="22"/>
              </w:rPr>
              <w:t xml:space="preserve"> and pupil voice</w:t>
            </w:r>
            <w:r w:rsidR="379D280F" w:rsidRPr="3FDF4F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C6AC" w14:textId="1E17302D" w:rsidR="00083031" w:rsidRDefault="00004AB0" w:rsidP="00FC27E0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4, 5</w:t>
            </w:r>
          </w:p>
        </w:tc>
      </w:tr>
      <w:tr w:rsidR="002E684A" w14:paraId="5B341D56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F4D0" w14:textId="287E29FD" w:rsidR="002E684A" w:rsidRPr="00F409AE" w:rsidRDefault="002E684A" w:rsidP="00F409A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Support for PP children and families </w:t>
            </w:r>
            <w:proofErr w:type="gramStart"/>
            <w:r w:rsidR="00DD1575">
              <w:rPr>
                <w:rFonts w:ascii="Arial" w:hAnsi="Arial" w:cs="Arial"/>
                <w:color w:val="000000"/>
                <w:sz w:val="22"/>
                <w:szCs w:val="22"/>
              </w:rPr>
              <w:t>where</w:t>
            </w:r>
            <w:proofErr w:type="gramEnd"/>
            <w:r w:rsidR="00DD1575">
              <w:rPr>
                <w:rFonts w:ascii="Arial" w:hAnsi="Arial" w:cs="Arial"/>
                <w:color w:val="000000"/>
                <w:sz w:val="22"/>
                <w:szCs w:val="22"/>
              </w:rPr>
              <w:t xml:space="preserve"> impacted by wider social and economic factors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8A28" w14:textId="237B4F7F" w:rsidR="002E684A" w:rsidRDefault="3F24F8CF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>T</w:t>
            </w:r>
            <w:r w:rsidR="2445387A" w:rsidRPr="3FDF4F1A">
              <w:rPr>
                <w:sz w:val="22"/>
                <w:szCs w:val="22"/>
              </w:rPr>
              <w:t>ar</w:t>
            </w:r>
            <w:r w:rsidR="57B625AF" w:rsidRPr="3FDF4F1A">
              <w:rPr>
                <w:sz w:val="22"/>
                <w:szCs w:val="22"/>
              </w:rPr>
              <w:t xml:space="preserve">geting the social and emotional needs </w:t>
            </w:r>
            <w:r w:rsidR="420A1686" w:rsidRPr="3FDF4F1A">
              <w:rPr>
                <w:sz w:val="22"/>
                <w:szCs w:val="22"/>
              </w:rPr>
              <w:t>of families who require additional support</w:t>
            </w:r>
            <w:r w:rsidR="681F660C" w:rsidRPr="3FDF4F1A">
              <w:rPr>
                <w:sz w:val="22"/>
                <w:szCs w:val="22"/>
              </w:rPr>
              <w:t xml:space="preserve"> – supporting cultural capital. </w:t>
            </w:r>
            <w:r w:rsidR="0EC9A1B9" w:rsidRPr="3FDF4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FC05" w14:textId="2B9B3B78" w:rsidR="002E684A" w:rsidRDefault="00004AB0" w:rsidP="00FC27E0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4, 5</w:t>
            </w:r>
          </w:p>
        </w:tc>
      </w:tr>
      <w:tr w:rsidR="00006ADC" w14:paraId="6758EA4A" w14:textId="77777777" w:rsidTr="3FDF4F1A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833F" w14:textId="14EB0B0D" w:rsidR="00006ADC" w:rsidRDefault="006D7836" w:rsidP="00F409A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Support in ensuring that the attendance of our disadvantaged children is in line with non-</w:t>
            </w:r>
            <w:r w:rsidR="00BA2BD0">
              <w:rPr>
                <w:rFonts w:ascii="Arial" w:hAnsi="Arial" w:cs="Arial"/>
                <w:color w:val="000000"/>
                <w:sz w:val="22"/>
                <w:szCs w:val="22"/>
              </w:rPr>
              <w:t>disadvantaged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children</w:t>
            </w:r>
            <w:r w:rsidR="00BA2BD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28EE" w14:textId="40E6A765" w:rsidR="00BA2BD0" w:rsidRDefault="15C6C381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>Careful daily monitoring of attendance for PP childre</w:t>
            </w:r>
            <w:r w:rsidR="6E5D98F1" w:rsidRPr="3FDF4F1A">
              <w:rPr>
                <w:sz w:val="22"/>
                <w:szCs w:val="22"/>
              </w:rPr>
              <w:t xml:space="preserve">n by PP Teaching assistant and Principal. </w:t>
            </w:r>
          </w:p>
          <w:p w14:paraId="53CE70AB" w14:textId="4B419973" w:rsidR="6E5D98F1" w:rsidRDefault="6E5D98F1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 xml:space="preserve">Analysis of attendance document. </w:t>
            </w:r>
          </w:p>
          <w:p w14:paraId="74570490" w14:textId="46035795" w:rsidR="6E5D98F1" w:rsidRDefault="6E5D98F1" w:rsidP="3FDF4F1A">
            <w:pPr>
              <w:pStyle w:val="TableRowCentered"/>
              <w:jc w:val="left"/>
              <w:rPr>
                <w:sz w:val="22"/>
                <w:szCs w:val="22"/>
              </w:rPr>
            </w:pPr>
            <w:r w:rsidRPr="3FDF4F1A">
              <w:rPr>
                <w:sz w:val="22"/>
                <w:szCs w:val="22"/>
              </w:rPr>
              <w:t xml:space="preserve">Issuing letters in line with Emmaus attendance policy and Principal </w:t>
            </w:r>
            <w:r w:rsidR="4AD359DC" w:rsidRPr="3FDF4F1A">
              <w:rPr>
                <w:sz w:val="22"/>
                <w:szCs w:val="22"/>
              </w:rPr>
              <w:t xml:space="preserve">following local authority procedures. </w:t>
            </w:r>
          </w:p>
          <w:p w14:paraId="137228AA" w14:textId="77777777" w:rsidR="00BA2BD0" w:rsidRDefault="00BA2BD0" w:rsidP="00157EF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Targeted support to increase attendance of disadvantaged children.</w:t>
            </w:r>
          </w:p>
          <w:p w14:paraId="26A7D4BD" w14:textId="3AC7D695" w:rsidR="000515D4" w:rsidRDefault="000515D4" w:rsidP="00157EF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Support</w:t>
            </w:r>
            <w:r w:rsidR="00BA2BD0">
              <w:rPr>
                <w:sz w:val="22"/>
              </w:rPr>
              <w:t xml:space="preserve"> for families where </w:t>
            </w:r>
            <w:r>
              <w:rPr>
                <w:sz w:val="22"/>
              </w:rPr>
              <w:t>additional support is required by families to increase attendance in school.</w:t>
            </w:r>
          </w:p>
          <w:p w14:paraId="1A62C76E" w14:textId="0C416D72" w:rsidR="00006ADC" w:rsidRDefault="000515D4" w:rsidP="000515D4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Ensure a high quality, engaging curriculum offer to lead to increased and sustained attendance in school.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7BA2" w14:textId="77777777" w:rsidR="00006ADC" w:rsidRDefault="00006ADC" w:rsidP="00FC27E0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387F4D19" w:rsidR="00E66558" w:rsidRDefault="009D71E8">
      <w:r>
        <w:t>This details the impact that our pupil premium activity had on pupils in the 202</w:t>
      </w:r>
      <w:r w:rsidR="00BB2757">
        <w:t>4</w:t>
      </w:r>
      <w:r>
        <w:t xml:space="preserve"> to 202</w:t>
      </w:r>
      <w:r w:rsidR="00BB2757">
        <w:t>5</w:t>
      </w:r>
      <w: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 w:rsidTr="3FDF4F1A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6295" w14:textId="103739AA" w:rsidR="00B87D66" w:rsidRPr="00DC4AF9" w:rsidRDefault="00DC4AF9" w:rsidP="004F7F6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DC4AF9">
              <w:rPr>
                <w:rFonts w:ascii="Arial" w:hAnsi="Arial" w:cs="Arial"/>
                <w:color w:val="000000"/>
                <w:sz w:val="22"/>
                <w:szCs w:val="22"/>
              </w:rPr>
              <w:t>his details the impact that our pupil premium activity had on pupils in the 202</w:t>
            </w:r>
            <w:r w:rsidR="0008582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DC4AF9">
              <w:rPr>
                <w:rFonts w:ascii="Arial" w:hAnsi="Arial" w:cs="Arial"/>
                <w:color w:val="000000"/>
                <w:sz w:val="22"/>
                <w:szCs w:val="22"/>
              </w:rPr>
              <w:t xml:space="preserve"> to 202</w:t>
            </w:r>
            <w:r w:rsidR="000858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DC4AF9">
              <w:rPr>
                <w:rFonts w:ascii="Arial" w:hAnsi="Arial" w:cs="Arial"/>
                <w:color w:val="000000"/>
                <w:sz w:val="22"/>
                <w:szCs w:val="22"/>
              </w:rPr>
              <w:t xml:space="preserve"> academic year.</w:t>
            </w:r>
          </w:p>
          <w:p w14:paraId="28014096" w14:textId="1711F947" w:rsidR="00E66558" w:rsidRPr="006D1988" w:rsidRDefault="00736A02" w:rsidP="006D1988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6D1988">
              <w:rPr>
                <w:rFonts w:ascii="Arial" w:hAnsi="Arial" w:cs="Arial"/>
                <w:b/>
                <w:bCs/>
                <w:color w:val="000000"/>
              </w:rPr>
              <w:t>Whole school</w:t>
            </w:r>
            <w:r w:rsidR="00861C0F" w:rsidRPr="006D1988">
              <w:rPr>
                <w:rFonts w:ascii="Arial" w:hAnsi="Arial" w:cs="Arial"/>
                <w:b/>
                <w:bCs/>
                <w:color w:val="000000"/>
              </w:rPr>
              <w:t xml:space="preserve"> – attainment </w:t>
            </w:r>
          </w:p>
          <w:p w14:paraId="05603EA4" w14:textId="33008D16" w:rsidR="00E76905" w:rsidRDefault="00E76905" w:rsidP="006D198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Based on 15 children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1674"/>
              <w:gridCol w:w="1807"/>
              <w:gridCol w:w="1930"/>
              <w:gridCol w:w="1807"/>
            </w:tblGrid>
            <w:tr w:rsidR="00350CF5" w14:paraId="36413901" w14:textId="2DB2E8AF" w:rsidTr="00350CF5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3D715C0E" w14:textId="6611D41E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Subject</w:t>
                  </w:r>
                </w:p>
              </w:tc>
              <w:tc>
                <w:tcPr>
                  <w:tcW w:w="1674" w:type="dxa"/>
                  <w:shd w:val="clear" w:color="auto" w:fill="BFBFBF" w:themeFill="background1" w:themeFillShade="BF"/>
                </w:tcPr>
                <w:p w14:paraId="40E560F3" w14:textId="572522F6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 % EXS + above</w:t>
                  </w:r>
                </w:p>
              </w:tc>
              <w:tc>
                <w:tcPr>
                  <w:tcW w:w="1807" w:type="dxa"/>
                  <w:shd w:val="clear" w:color="auto" w:fill="BFBFBF" w:themeFill="background1" w:themeFillShade="BF"/>
                </w:tcPr>
                <w:p w14:paraId="7C1839FE" w14:textId="65BAE030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 % above</w:t>
                  </w:r>
                </w:p>
              </w:tc>
              <w:tc>
                <w:tcPr>
                  <w:tcW w:w="1930" w:type="dxa"/>
                  <w:shd w:val="clear" w:color="auto" w:fill="BFBFBF" w:themeFill="background1" w:themeFillShade="BF"/>
                </w:tcPr>
                <w:p w14:paraId="3AC51847" w14:textId="574F89AA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Non Pupil</w:t>
                  </w:r>
                  <w:proofErr w:type="gramEnd"/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Premium % EXS + above</w:t>
                  </w:r>
                </w:p>
              </w:tc>
              <w:tc>
                <w:tcPr>
                  <w:tcW w:w="1807" w:type="dxa"/>
                  <w:shd w:val="clear" w:color="auto" w:fill="BFBFBF" w:themeFill="background1" w:themeFillShade="BF"/>
                </w:tcPr>
                <w:p w14:paraId="43955CC3" w14:textId="4260F5B4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Non Pupil</w:t>
                  </w:r>
                  <w:proofErr w:type="gramEnd"/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Premium % above</w:t>
                  </w:r>
                </w:p>
              </w:tc>
            </w:tr>
            <w:tr w:rsidR="00350CF5" w14:paraId="27D24BE2" w14:textId="633E7852" w:rsidTr="00E67EB6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57DA9A1E" w14:textId="634C2B36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674" w:type="dxa"/>
                </w:tcPr>
                <w:p w14:paraId="78576808" w14:textId="71B52C63" w:rsidR="00350CF5" w:rsidRDefault="00E67EB6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1807" w:type="dxa"/>
                </w:tcPr>
                <w:p w14:paraId="6E907FA6" w14:textId="17444B81" w:rsidR="00350CF5" w:rsidRDefault="00451575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27%</w:t>
                  </w:r>
                </w:p>
              </w:tc>
              <w:tc>
                <w:tcPr>
                  <w:tcW w:w="1930" w:type="dxa"/>
                </w:tcPr>
                <w:p w14:paraId="4C3EFF3B" w14:textId="0A90FD26" w:rsidR="00350CF5" w:rsidRDefault="00451575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84%</w:t>
                  </w:r>
                </w:p>
              </w:tc>
              <w:tc>
                <w:tcPr>
                  <w:tcW w:w="1807" w:type="dxa"/>
                </w:tcPr>
                <w:p w14:paraId="6E9ABAE0" w14:textId="58EB7822" w:rsidR="00350CF5" w:rsidRDefault="00451575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21%</w:t>
                  </w:r>
                </w:p>
              </w:tc>
            </w:tr>
            <w:tr w:rsidR="00350CF5" w14:paraId="07B0E14E" w14:textId="72808BB7" w:rsidTr="00E67EB6">
              <w:trPr>
                <w:trHeight w:val="256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7F34B3B3" w14:textId="5E205E7B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674" w:type="dxa"/>
                </w:tcPr>
                <w:p w14:paraId="23DEE027" w14:textId="37AC0CE7" w:rsidR="00350CF5" w:rsidRDefault="00451575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1807" w:type="dxa"/>
                </w:tcPr>
                <w:p w14:paraId="140219CE" w14:textId="7DE579E2" w:rsidR="00350CF5" w:rsidRDefault="00451575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20%</w:t>
                  </w:r>
                </w:p>
              </w:tc>
              <w:tc>
                <w:tcPr>
                  <w:tcW w:w="1930" w:type="dxa"/>
                </w:tcPr>
                <w:p w14:paraId="3849F10A" w14:textId="10161B24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76%</w:t>
                  </w:r>
                </w:p>
              </w:tc>
              <w:tc>
                <w:tcPr>
                  <w:tcW w:w="1807" w:type="dxa"/>
                </w:tcPr>
                <w:p w14:paraId="487CDA73" w14:textId="183A6355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10%</w:t>
                  </w:r>
                </w:p>
              </w:tc>
            </w:tr>
            <w:tr w:rsidR="00350CF5" w14:paraId="2EC11A06" w14:textId="45B1E946" w:rsidTr="00E67EB6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27C02A8E" w14:textId="046CFAF3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Maths</w:t>
                  </w:r>
                </w:p>
              </w:tc>
              <w:tc>
                <w:tcPr>
                  <w:tcW w:w="1674" w:type="dxa"/>
                </w:tcPr>
                <w:p w14:paraId="122D4C6D" w14:textId="61CC2F0D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47%</w:t>
                  </w:r>
                </w:p>
              </w:tc>
              <w:tc>
                <w:tcPr>
                  <w:tcW w:w="1807" w:type="dxa"/>
                </w:tcPr>
                <w:p w14:paraId="7030F5AC" w14:textId="3D9FE886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7%</w:t>
                  </w:r>
                </w:p>
              </w:tc>
              <w:tc>
                <w:tcPr>
                  <w:tcW w:w="1930" w:type="dxa"/>
                </w:tcPr>
                <w:p w14:paraId="6ED9A5F8" w14:textId="623C56C4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81%</w:t>
                  </w:r>
                </w:p>
              </w:tc>
              <w:tc>
                <w:tcPr>
                  <w:tcW w:w="1807" w:type="dxa"/>
                </w:tcPr>
                <w:p w14:paraId="554EF2E7" w14:textId="7C1DC2D2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19%</w:t>
                  </w:r>
                </w:p>
              </w:tc>
            </w:tr>
            <w:tr w:rsidR="00350CF5" w14:paraId="637DA1CB" w14:textId="4269E79A" w:rsidTr="00E67EB6">
              <w:trPr>
                <w:trHeight w:val="256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5568D597" w14:textId="4D2A1A9F" w:rsidR="00350CF5" w:rsidRPr="00C509CA" w:rsidRDefault="00350CF5" w:rsidP="00350CF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Combined</w:t>
                  </w:r>
                </w:p>
              </w:tc>
              <w:tc>
                <w:tcPr>
                  <w:tcW w:w="1674" w:type="dxa"/>
                </w:tcPr>
                <w:p w14:paraId="31D6EC08" w14:textId="1C3DEC3D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r w:rsidR="006057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07" w:type="dxa"/>
                </w:tcPr>
                <w:p w14:paraId="48678DBE" w14:textId="317514AD" w:rsidR="00350CF5" w:rsidRDefault="000944D4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7%</w:t>
                  </w:r>
                </w:p>
              </w:tc>
              <w:tc>
                <w:tcPr>
                  <w:tcW w:w="1930" w:type="dxa"/>
                </w:tcPr>
                <w:p w14:paraId="1D29B125" w14:textId="0932A6A5" w:rsidR="00350CF5" w:rsidRDefault="0025730C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70%</w:t>
                  </w:r>
                </w:p>
              </w:tc>
              <w:tc>
                <w:tcPr>
                  <w:tcW w:w="1807" w:type="dxa"/>
                </w:tcPr>
                <w:p w14:paraId="73E6DCE7" w14:textId="7DA304A0" w:rsidR="00350CF5" w:rsidRDefault="0025730C" w:rsidP="00E67EB6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9%</w:t>
                  </w:r>
                </w:p>
              </w:tc>
            </w:tr>
          </w:tbl>
          <w:p w14:paraId="6579E1A9" w14:textId="77777777" w:rsidR="00735874" w:rsidRPr="003E15F6" w:rsidRDefault="00F74491" w:rsidP="00F74491">
            <w:pPr>
              <w:pStyle w:val="NormalWeb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15F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*Within the PP group there are also 4 children with SEND</w:t>
            </w:r>
            <w:r w:rsidR="005522BF" w:rsidRPr="003E15F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4E3A25" w:rsidRPr="003E15F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A comparison of the </w:t>
            </w:r>
            <w:r w:rsidR="00742DEE" w:rsidRPr="003E15F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groups is below and demonstrates attainment </w:t>
            </w:r>
            <w:r w:rsidR="00735874" w:rsidRPr="003E15F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more in line with non-PP children.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1674"/>
              <w:gridCol w:w="1807"/>
              <w:gridCol w:w="1930"/>
              <w:gridCol w:w="1807"/>
            </w:tblGrid>
            <w:tr w:rsidR="00735874" w14:paraId="523EAF8E" w14:textId="77777777" w:rsidTr="00551253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19706F78" w14:textId="77777777" w:rsidR="00735874" w:rsidRPr="00C509CA" w:rsidRDefault="00735874" w:rsidP="0073587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Subject</w:t>
                  </w:r>
                </w:p>
              </w:tc>
              <w:tc>
                <w:tcPr>
                  <w:tcW w:w="1674" w:type="dxa"/>
                  <w:shd w:val="clear" w:color="auto" w:fill="BFBFBF" w:themeFill="background1" w:themeFillShade="BF"/>
                </w:tcPr>
                <w:p w14:paraId="0971096B" w14:textId="3FA7DDAD" w:rsidR="00735874" w:rsidRPr="00C509CA" w:rsidRDefault="00735874" w:rsidP="0073587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</w:t>
                  </w:r>
                  <w:r w:rsidR="00F1236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+ SEND</w:t>
                  </w: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% EXS + above</w:t>
                  </w:r>
                </w:p>
              </w:tc>
              <w:tc>
                <w:tcPr>
                  <w:tcW w:w="1807" w:type="dxa"/>
                  <w:shd w:val="clear" w:color="auto" w:fill="BFBFBF" w:themeFill="background1" w:themeFillShade="BF"/>
                </w:tcPr>
                <w:p w14:paraId="5082F189" w14:textId="76876772" w:rsidR="00735874" w:rsidRPr="00C509CA" w:rsidRDefault="00735874" w:rsidP="0073587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</w:t>
                  </w:r>
                  <w:r w:rsidR="00F1236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+ SEND</w:t>
                  </w: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% above</w:t>
                  </w:r>
                </w:p>
              </w:tc>
              <w:tc>
                <w:tcPr>
                  <w:tcW w:w="1930" w:type="dxa"/>
                  <w:shd w:val="clear" w:color="auto" w:fill="BFBFBF" w:themeFill="background1" w:themeFillShade="BF"/>
                </w:tcPr>
                <w:p w14:paraId="4A79004B" w14:textId="24EB8020" w:rsidR="00735874" w:rsidRPr="00C509CA" w:rsidRDefault="00735874" w:rsidP="0073587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</w:t>
                  </w:r>
                  <w:r w:rsidR="00F1236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Without SEND</w:t>
                  </w: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% EXS + above</w:t>
                  </w:r>
                </w:p>
              </w:tc>
              <w:tc>
                <w:tcPr>
                  <w:tcW w:w="1807" w:type="dxa"/>
                  <w:shd w:val="clear" w:color="auto" w:fill="BFBFBF" w:themeFill="background1" w:themeFillShade="BF"/>
                </w:tcPr>
                <w:p w14:paraId="1F0D09D3" w14:textId="7CBD7F1C" w:rsidR="00735874" w:rsidRPr="00C509CA" w:rsidRDefault="00735874" w:rsidP="0073587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Pupil Premium</w:t>
                  </w:r>
                  <w:r w:rsidR="00F1236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Without SEND</w:t>
                  </w: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% above</w:t>
                  </w:r>
                </w:p>
              </w:tc>
            </w:tr>
            <w:tr w:rsidR="00147544" w14:paraId="77D920C0" w14:textId="77777777" w:rsidTr="00551253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49E1B480" w14:textId="77777777" w:rsidR="00147544" w:rsidRPr="00C509CA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674" w:type="dxa"/>
                </w:tcPr>
                <w:p w14:paraId="72D66B23" w14:textId="54D45391" w:rsidR="00147544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1807" w:type="dxa"/>
                </w:tcPr>
                <w:p w14:paraId="26D91959" w14:textId="1A814FF0" w:rsidR="00147544" w:rsidRDefault="003E7EFD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1930" w:type="dxa"/>
                </w:tcPr>
                <w:p w14:paraId="71AE3A14" w14:textId="34DFD36C" w:rsidR="00147544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72%</w:t>
                  </w:r>
                </w:p>
              </w:tc>
              <w:tc>
                <w:tcPr>
                  <w:tcW w:w="1807" w:type="dxa"/>
                </w:tcPr>
                <w:p w14:paraId="43F70DCC" w14:textId="1A0565BF" w:rsidR="00147544" w:rsidRDefault="0024689F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36%</w:t>
                  </w:r>
                </w:p>
              </w:tc>
            </w:tr>
            <w:tr w:rsidR="00147544" w14:paraId="21936DB8" w14:textId="77777777" w:rsidTr="00551253">
              <w:trPr>
                <w:trHeight w:val="256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5FCA5731" w14:textId="77777777" w:rsidR="00147544" w:rsidRPr="00C509CA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674" w:type="dxa"/>
                </w:tcPr>
                <w:p w14:paraId="707FCCF0" w14:textId="11E1E63E" w:rsidR="00147544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1807" w:type="dxa"/>
                </w:tcPr>
                <w:p w14:paraId="71E600BB" w14:textId="70A1899F" w:rsidR="00147544" w:rsidRDefault="003E7EFD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1930" w:type="dxa"/>
                </w:tcPr>
                <w:p w14:paraId="1FB6F55B" w14:textId="09BEACA1" w:rsidR="00147544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72%</w:t>
                  </w:r>
                </w:p>
              </w:tc>
              <w:tc>
                <w:tcPr>
                  <w:tcW w:w="1807" w:type="dxa"/>
                </w:tcPr>
                <w:p w14:paraId="48EF5B6E" w14:textId="74CBD35B" w:rsidR="00147544" w:rsidRDefault="0024689F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27%</w:t>
                  </w:r>
                </w:p>
              </w:tc>
            </w:tr>
            <w:tr w:rsidR="00147544" w14:paraId="148B2C8A" w14:textId="77777777" w:rsidTr="00551253">
              <w:trPr>
                <w:trHeight w:val="272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2FE4EEC2" w14:textId="77777777" w:rsidR="00147544" w:rsidRPr="00C509CA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Maths</w:t>
                  </w:r>
                </w:p>
              </w:tc>
              <w:tc>
                <w:tcPr>
                  <w:tcW w:w="1674" w:type="dxa"/>
                </w:tcPr>
                <w:p w14:paraId="7CA843D1" w14:textId="1EF761C6" w:rsidR="00147544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1807" w:type="dxa"/>
                </w:tcPr>
                <w:p w14:paraId="5E3EA3BB" w14:textId="539C72FB" w:rsidR="00147544" w:rsidRDefault="003E7EFD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1930" w:type="dxa"/>
                </w:tcPr>
                <w:p w14:paraId="241C320C" w14:textId="282BC703" w:rsidR="00147544" w:rsidRDefault="00621622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54%</w:t>
                  </w:r>
                </w:p>
              </w:tc>
              <w:tc>
                <w:tcPr>
                  <w:tcW w:w="1807" w:type="dxa"/>
                </w:tcPr>
                <w:p w14:paraId="68B8CC86" w14:textId="032D6505" w:rsidR="00147544" w:rsidRDefault="0024689F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9%</w:t>
                  </w:r>
                </w:p>
              </w:tc>
            </w:tr>
            <w:tr w:rsidR="00147544" w14:paraId="5FD8E55B" w14:textId="77777777" w:rsidTr="00551253">
              <w:trPr>
                <w:trHeight w:val="256"/>
              </w:trPr>
              <w:tc>
                <w:tcPr>
                  <w:tcW w:w="1657" w:type="dxa"/>
                  <w:shd w:val="clear" w:color="auto" w:fill="BFBFBF" w:themeFill="background1" w:themeFillShade="BF"/>
                </w:tcPr>
                <w:p w14:paraId="3A386746" w14:textId="77777777" w:rsidR="00147544" w:rsidRPr="00C509CA" w:rsidRDefault="00147544" w:rsidP="00147544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09C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Combined</w:t>
                  </w:r>
                </w:p>
              </w:tc>
              <w:tc>
                <w:tcPr>
                  <w:tcW w:w="1674" w:type="dxa"/>
                </w:tcPr>
                <w:p w14:paraId="20DECAAA" w14:textId="6A165C9F" w:rsidR="00147544" w:rsidRDefault="003E15F6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1807" w:type="dxa"/>
                </w:tcPr>
                <w:p w14:paraId="1E119442" w14:textId="78F0FBA2" w:rsidR="00147544" w:rsidRDefault="0024689F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1930" w:type="dxa"/>
                </w:tcPr>
                <w:p w14:paraId="237159CE" w14:textId="4F1C17C1" w:rsidR="00147544" w:rsidRDefault="003E15F6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55%</w:t>
                  </w:r>
                </w:p>
              </w:tc>
              <w:tc>
                <w:tcPr>
                  <w:tcW w:w="1807" w:type="dxa"/>
                </w:tcPr>
                <w:p w14:paraId="4E8F05A8" w14:textId="5192297C" w:rsidR="00147544" w:rsidRDefault="00FD73AE" w:rsidP="00147544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</w:t>
                  </w:r>
                  <w:r w:rsidR="006461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3FE06D30" w14:textId="6F66CD2B" w:rsidR="00D77132" w:rsidRDefault="00D77132" w:rsidP="006D198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Year </w:t>
            </w:r>
            <w:r w:rsidR="00665896">
              <w:rPr>
                <w:rFonts w:ascii="Arial" w:hAnsi="Arial" w:cs="Arial"/>
                <w:color w:val="000000"/>
                <w:sz w:val="22"/>
                <w:szCs w:val="22"/>
              </w:rPr>
              <w:t>progress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Expected progress would be c lasses as </w:t>
            </w:r>
            <w:r w:rsidR="00DB6FDB">
              <w:rPr>
                <w:rFonts w:ascii="Arial" w:hAnsi="Arial" w:cs="Arial"/>
                <w:color w:val="000000"/>
                <w:sz w:val="22"/>
                <w:szCs w:val="22"/>
              </w:rPr>
              <w:t>‘0.0’</w:t>
            </w:r>
            <w:r w:rsidR="0010754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9E8AC4D" w14:textId="320B2859" w:rsidR="0057710D" w:rsidRDefault="0057710D" w:rsidP="00DB6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Reading</w:t>
            </w:r>
          </w:p>
          <w:p w14:paraId="7EDA65EE" w14:textId="3A2E6891" w:rsidR="00DB6FDB" w:rsidRPr="00DB6FDB" w:rsidRDefault="003B09DB" w:rsidP="00DB6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Pupil Premium</w:t>
            </w:r>
          </w:p>
          <w:p w14:paraId="1B8554D9" w14:textId="77777777" w:rsidR="00DB6FDB" w:rsidRDefault="00DB6FDB" w:rsidP="00DB6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6FDB">
              <w:rPr>
                <w:rFonts w:ascii="Arial" w:hAnsi="Arial" w:cs="Arial"/>
                <w:color w:val="000000"/>
                <w:sz w:val="22"/>
                <w:szCs w:val="22"/>
              </w:rPr>
              <w:t>15 pupils · Average: +0.2</w:t>
            </w:r>
          </w:p>
          <w:p w14:paraId="56E614E9" w14:textId="77777777" w:rsidR="0057710D" w:rsidRDefault="0057710D" w:rsidP="00DB6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A3BA07" w14:textId="608DCD90" w:rsidR="0057710D" w:rsidRPr="0057710D" w:rsidRDefault="003B09DB" w:rsidP="005771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 Pupil Premium</w:t>
            </w:r>
          </w:p>
          <w:p w14:paraId="53575AC2" w14:textId="4EF63CFC" w:rsidR="00DB6FDB" w:rsidRDefault="0057710D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710D">
              <w:rPr>
                <w:rFonts w:ascii="Arial" w:hAnsi="Arial" w:cs="Arial"/>
                <w:color w:val="000000"/>
                <w:sz w:val="22"/>
                <w:szCs w:val="22"/>
              </w:rPr>
              <w:t>183 pupils · Average: +0.1</w:t>
            </w:r>
          </w:p>
          <w:p w14:paraId="51523180" w14:textId="77777777" w:rsidR="00DD72B9" w:rsidRDefault="00DD72B9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889F53" w14:textId="64982B4E" w:rsidR="003B09DB" w:rsidRDefault="003B09DB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B09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Writing </w:t>
            </w:r>
          </w:p>
          <w:p w14:paraId="5B47EE7A" w14:textId="77777777" w:rsidR="003B09DB" w:rsidRPr="00DB6FDB" w:rsidRDefault="003B09DB" w:rsidP="003B0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Pupil Premium</w:t>
            </w:r>
          </w:p>
          <w:p w14:paraId="37CD711D" w14:textId="1A300DDB" w:rsidR="00050867" w:rsidRDefault="00370769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769">
              <w:rPr>
                <w:rFonts w:ascii="Arial" w:hAnsi="Arial" w:cs="Arial"/>
                <w:color w:val="000000"/>
                <w:sz w:val="22"/>
                <w:szCs w:val="22"/>
              </w:rPr>
              <w:t>15 pupils · Average: +0.3</w:t>
            </w:r>
          </w:p>
          <w:p w14:paraId="7B1160E7" w14:textId="77777777" w:rsidR="00370769" w:rsidRDefault="00370769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DDEC2A" w14:textId="24FB0F63" w:rsidR="00370769" w:rsidRDefault="00370769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5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  <w:r w:rsidR="00C657BC" w:rsidRPr="00C65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 Pupil Premium</w:t>
            </w:r>
          </w:p>
          <w:p w14:paraId="23FE8F2A" w14:textId="7EA9AA19" w:rsidR="00C657BC" w:rsidRDefault="00C657BC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5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183 pupils · Average: +0.0</w:t>
            </w:r>
          </w:p>
          <w:p w14:paraId="343BABEC" w14:textId="77777777" w:rsidR="00C657BC" w:rsidRDefault="00C657BC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9AEF62A" w14:textId="77777777" w:rsidR="00107547" w:rsidRDefault="00107547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83F7EB4" w14:textId="72B876B5" w:rsidR="00C657BC" w:rsidRDefault="00AB683B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Maths</w:t>
            </w:r>
          </w:p>
          <w:p w14:paraId="5F5DE72D" w14:textId="71C202EF" w:rsidR="00AB683B" w:rsidRDefault="00AB683B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Pupil Premium</w:t>
            </w:r>
          </w:p>
          <w:p w14:paraId="1E36201F" w14:textId="09CFFFC2" w:rsidR="00D6215F" w:rsidRDefault="00D6215F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21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 pupils · Average: -0.1</w:t>
            </w:r>
          </w:p>
          <w:p w14:paraId="26F673A4" w14:textId="77777777" w:rsidR="00D6215F" w:rsidRDefault="00D6215F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AFB109" w14:textId="38D5A145" w:rsidR="00D6215F" w:rsidRDefault="00D6215F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 Pupil Premium</w:t>
            </w:r>
          </w:p>
          <w:p w14:paraId="58EFFEFD" w14:textId="12980AF4" w:rsidR="00D6215F" w:rsidRDefault="00D6215F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21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183 pupils · Average: +0.</w:t>
            </w:r>
            <w:r w:rsidR="005313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  <w:p w14:paraId="590982D6" w14:textId="77777777" w:rsidR="00665896" w:rsidRDefault="00665896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42AEB6" w14:textId="57A31B5E" w:rsidR="00665896" w:rsidRDefault="00B3365F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Throughout the school year children in </w:t>
            </w:r>
            <w:r w:rsidR="000B4911">
              <w:rPr>
                <w:rFonts w:ascii="Arial" w:hAnsi="Arial" w:cs="Arial"/>
                <w:color w:val="000000"/>
                <w:sz w:val="22"/>
                <w:szCs w:val="22"/>
              </w:rPr>
              <w:t>receipt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r w:rsidR="002C67B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upil </w:t>
            </w:r>
            <w:r w:rsidR="002C67B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remium funding were supported through </w:t>
            </w:r>
            <w:r w:rsidR="000B4911">
              <w:rPr>
                <w:rFonts w:ascii="Arial" w:hAnsi="Arial" w:cs="Arial"/>
                <w:color w:val="000000"/>
                <w:sz w:val="22"/>
                <w:szCs w:val="22"/>
              </w:rPr>
              <w:t xml:space="preserve">quality first teaching and through the delivery of smart targets </w:t>
            </w:r>
            <w:r w:rsidR="006C2A3C">
              <w:rPr>
                <w:rFonts w:ascii="Arial" w:hAnsi="Arial" w:cs="Arial"/>
                <w:color w:val="000000"/>
                <w:sz w:val="22"/>
                <w:szCs w:val="22"/>
              </w:rPr>
              <w:t xml:space="preserve">by </w:t>
            </w:r>
            <w:r w:rsidR="00067F67">
              <w:rPr>
                <w:rFonts w:ascii="Arial" w:hAnsi="Arial" w:cs="Arial"/>
                <w:color w:val="000000"/>
                <w:sz w:val="22"/>
                <w:szCs w:val="22"/>
              </w:rPr>
              <w:t xml:space="preserve">a Level 2 teaching assistant as well as a HLTA. </w:t>
            </w:r>
            <w:r w:rsidR="000B491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DBAABA9" w14:textId="50292EDB" w:rsidR="004C5ED4" w:rsidRPr="00665896" w:rsidRDefault="004C5ED4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 can be seen by progress measures, </w:t>
            </w:r>
            <w:r w:rsidR="002C67BE">
              <w:rPr>
                <w:rFonts w:ascii="Arial" w:hAnsi="Arial" w:cs="Arial"/>
                <w:color w:val="000000"/>
                <w:sz w:val="22"/>
                <w:szCs w:val="22"/>
              </w:rPr>
              <w:t xml:space="preserve">Pupil Premium children make good progress from their starting points, and in reading and writing </w:t>
            </w:r>
            <w:r w:rsidR="0028793A">
              <w:rPr>
                <w:rFonts w:ascii="Arial" w:hAnsi="Arial" w:cs="Arial"/>
                <w:color w:val="000000"/>
                <w:sz w:val="22"/>
                <w:szCs w:val="22"/>
              </w:rPr>
              <w:t xml:space="preserve">better progress than non-Pupil Premium children. </w:t>
            </w:r>
          </w:p>
          <w:p w14:paraId="213C5E40" w14:textId="77777777" w:rsidR="00370769" w:rsidRPr="00E76905" w:rsidRDefault="00370769" w:rsidP="000508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0CD85B" w14:textId="77777777" w:rsidR="008A4D1F" w:rsidRDefault="008A4D1F" w:rsidP="00AD7E7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Social and emotional Wellbeing support</w:t>
            </w:r>
          </w:p>
          <w:p w14:paraId="03F40BF0" w14:textId="0E8C9393" w:rsidR="00526D30" w:rsidRDefault="6AA52E6A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>Vice Principal has undertaken Senior Mental Health Lead course</w:t>
            </w:r>
            <w:r w:rsidR="5253BA89" w:rsidRPr="3FDF4F1A">
              <w:rPr>
                <w:rFonts w:cs="Arial"/>
              </w:rPr>
              <w:t>.</w:t>
            </w:r>
          </w:p>
          <w:p w14:paraId="28045C27" w14:textId="71FC2746" w:rsidR="00526D30" w:rsidRDefault="6AA52E6A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 xml:space="preserve">Vice Principal </w:t>
            </w:r>
            <w:r w:rsidR="59D218BD" w:rsidRPr="3FDF4F1A">
              <w:rPr>
                <w:rFonts w:cs="Arial"/>
              </w:rPr>
              <w:t>has undertaken positive handling and de-escalation training</w:t>
            </w:r>
            <w:r w:rsidR="5110E8BB" w:rsidRPr="3FDF4F1A">
              <w:rPr>
                <w:rFonts w:cs="Arial"/>
              </w:rPr>
              <w:t>.</w:t>
            </w:r>
          </w:p>
          <w:p w14:paraId="403019ED" w14:textId="33995009" w:rsidR="00B321C9" w:rsidRDefault="00BD6184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Emotional Literacy Support Assistant </w:t>
            </w:r>
            <w:r w:rsidR="00E208C6">
              <w:rPr>
                <w:rFonts w:cs="Arial"/>
              </w:rPr>
              <w:t>fully trained and has provided interventions such as Get Moving, Nurture Groups, Social Skills groups</w:t>
            </w:r>
            <w:r w:rsidR="002E603E">
              <w:rPr>
                <w:rFonts w:cs="Arial"/>
              </w:rPr>
              <w:t xml:space="preserve"> and preparation for transition which has been highly effective</w:t>
            </w:r>
          </w:p>
          <w:p w14:paraId="45F7B22E" w14:textId="4ACAFD70" w:rsidR="005461EE" w:rsidRDefault="5AAF749F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 xml:space="preserve">PCSO course for targeted </w:t>
            </w:r>
            <w:r w:rsidR="006C55D8" w:rsidRPr="3FDF4F1A">
              <w:rPr>
                <w:rFonts w:cs="Arial"/>
              </w:rPr>
              <w:t>children in</w:t>
            </w:r>
            <w:r w:rsidR="02074D0B" w:rsidRPr="3FDF4F1A">
              <w:rPr>
                <w:rFonts w:cs="Arial"/>
              </w:rPr>
              <w:t xml:space="preserve"> school</w:t>
            </w:r>
            <w:r w:rsidR="28D65C7D" w:rsidRPr="3FDF4F1A">
              <w:rPr>
                <w:rFonts w:cs="Arial"/>
              </w:rPr>
              <w:t>.</w:t>
            </w:r>
          </w:p>
          <w:p w14:paraId="0C167DBF" w14:textId="67135444" w:rsidR="00532D68" w:rsidRDefault="7CD6FCB0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 xml:space="preserve">Mental health and Wellbeing work in school – including externally provided yoga in </w:t>
            </w:r>
            <w:r w:rsidR="564EF2D6" w:rsidRPr="3FDF4F1A">
              <w:rPr>
                <w:rFonts w:cs="Arial"/>
              </w:rPr>
              <w:t>children’s mental health week</w:t>
            </w:r>
            <w:r w:rsidR="3225D9D5" w:rsidRPr="3FDF4F1A">
              <w:rPr>
                <w:rFonts w:cs="Arial"/>
              </w:rPr>
              <w:t>.</w:t>
            </w:r>
          </w:p>
          <w:p w14:paraId="29454AFF" w14:textId="3D1B0825" w:rsidR="007371DE" w:rsidRDefault="0D609EA1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>Nurture groups provided</w:t>
            </w:r>
            <w:r w:rsidR="6BE2B503" w:rsidRPr="3FDF4F1A">
              <w:rPr>
                <w:rFonts w:cs="Arial"/>
              </w:rPr>
              <w:t>.</w:t>
            </w:r>
          </w:p>
          <w:p w14:paraId="4DA17BA9" w14:textId="26DFEC54" w:rsidR="007371DE" w:rsidRDefault="0D609EA1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>Clothing allowance where required to support with social and economic emerging needs</w:t>
            </w:r>
            <w:r w:rsidR="31985A3D" w:rsidRPr="3FDF4F1A">
              <w:rPr>
                <w:rFonts w:cs="Arial"/>
              </w:rPr>
              <w:t>.</w:t>
            </w:r>
          </w:p>
          <w:p w14:paraId="15A88CA3" w14:textId="0FD87DB9" w:rsidR="19F2ED9E" w:rsidRDefault="19F2ED9E" w:rsidP="3FDF4F1A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 xml:space="preserve">Hardship fund also utilised for </w:t>
            </w:r>
            <w:r w:rsidR="00B66345" w:rsidRPr="3FDF4F1A">
              <w:rPr>
                <w:rFonts w:cs="Arial"/>
              </w:rPr>
              <w:t>targeted</w:t>
            </w:r>
            <w:r w:rsidRPr="3FDF4F1A">
              <w:rPr>
                <w:rFonts w:cs="Arial"/>
              </w:rPr>
              <w:t xml:space="preserve"> pupils. </w:t>
            </w:r>
          </w:p>
          <w:p w14:paraId="1FA2F375" w14:textId="77777777" w:rsidR="007371DE" w:rsidRDefault="0D609EA1" w:rsidP="005461EE">
            <w:pPr>
              <w:spacing w:after="0"/>
              <w:jc w:val="both"/>
              <w:rPr>
                <w:rFonts w:cs="Arial"/>
              </w:rPr>
            </w:pPr>
            <w:r w:rsidRPr="3FDF4F1A">
              <w:rPr>
                <w:rFonts w:cs="Arial"/>
              </w:rPr>
              <w:t>Support for children to attend school trips/residentials</w:t>
            </w:r>
            <w:r w:rsidR="2462F0CC" w:rsidRPr="3FDF4F1A">
              <w:rPr>
                <w:rFonts w:cs="Arial"/>
              </w:rPr>
              <w:t>.</w:t>
            </w:r>
          </w:p>
          <w:p w14:paraId="01C544E1" w14:textId="2B413412" w:rsidR="00B66345" w:rsidRDefault="00B66345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use of the </w:t>
            </w:r>
            <w:r w:rsidR="00B41FB1">
              <w:rPr>
                <w:rFonts w:cs="Arial"/>
              </w:rPr>
              <w:t xml:space="preserve">new trim trail and mud kitchen </w:t>
            </w:r>
            <w:r w:rsidR="000570C3">
              <w:rPr>
                <w:rFonts w:cs="Arial"/>
              </w:rPr>
              <w:t xml:space="preserve">has supported the wellbeing of children who are struggling with anxiety, behaviour </w:t>
            </w:r>
            <w:r w:rsidR="00B321C9">
              <w:rPr>
                <w:rFonts w:cs="Arial"/>
              </w:rPr>
              <w:t>low self-esteem</w:t>
            </w:r>
            <w:r w:rsidR="00214444">
              <w:rPr>
                <w:rFonts w:cs="Arial"/>
              </w:rPr>
              <w:t>.</w:t>
            </w:r>
          </w:p>
          <w:p w14:paraId="1FEEDB27" w14:textId="4E9C069D" w:rsidR="00214444" w:rsidRDefault="00214444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Mentor link – </w:t>
            </w:r>
            <w:proofErr w:type="gramStart"/>
            <w:r>
              <w:rPr>
                <w:rFonts w:cs="Arial"/>
              </w:rPr>
              <w:t>school based</w:t>
            </w:r>
            <w:proofErr w:type="gramEnd"/>
            <w:r>
              <w:rPr>
                <w:rFonts w:cs="Arial"/>
              </w:rPr>
              <w:t xml:space="preserve"> therapist has supported 4 children throughout the academic year leading to </w:t>
            </w:r>
            <w:r w:rsidR="00692072">
              <w:rPr>
                <w:rFonts w:cs="Arial"/>
              </w:rPr>
              <w:t xml:space="preserve">improved mental health and wellbeing. </w:t>
            </w:r>
          </w:p>
          <w:p w14:paraId="6D97666D" w14:textId="037FDA65" w:rsidR="00592515" w:rsidRDefault="00592515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PC Kat Andrews and West Midlands police visiting school to train Junior PCSOs as well as </w:t>
            </w:r>
            <w:r w:rsidR="00C610E4">
              <w:rPr>
                <w:rFonts w:cs="Arial"/>
              </w:rPr>
              <w:t xml:space="preserve">at key times in the year (transition, bonfire </w:t>
            </w:r>
            <w:proofErr w:type="spellStart"/>
            <w:r w:rsidR="00C610E4">
              <w:rPr>
                <w:rFonts w:cs="Arial"/>
              </w:rPr>
              <w:t>nightetc</w:t>
            </w:r>
            <w:proofErr w:type="spellEnd"/>
            <w:r w:rsidR="00C610E4">
              <w:rPr>
                <w:rFonts w:cs="Arial"/>
              </w:rPr>
              <w:t>)</w:t>
            </w:r>
          </w:p>
          <w:p w14:paraId="63BAA3AE" w14:textId="77777777" w:rsidR="004B33FB" w:rsidRDefault="004B33FB" w:rsidP="005461EE">
            <w:pPr>
              <w:spacing w:after="0"/>
              <w:jc w:val="both"/>
              <w:rPr>
                <w:rFonts w:cs="Arial"/>
              </w:rPr>
            </w:pPr>
          </w:p>
          <w:p w14:paraId="73EF2910" w14:textId="4F096C10" w:rsidR="00924DEE" w:rsidRDefault="00924DEE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  <w:r w:rsidRPr="00924DEE">
              <w:rPr>
                <w:rFonts w:cs="Arial"/>
                <w:b/>
                <w:bCs/>
              </w:rPr>
              <w:t>SEND PP children targeted support</w:t>
            </w:r>
          </w:p>
          <w:p w14:paraId="4BF492C7" w14:textId="704F2A91" w:rsidR="00924DEE" w:rsidRDefault="00924DEE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Numerous </w:t>
            </w:r>
            <w:r w:rsidR="00552EC0">
              <w:rPr>
                <w:rFonts w:cs="Arial"/>
              </w:rPr>
              <w:t>resources have been purchased to support both SEND and PP children such as reading pens</w:t>
            </w:r>
            <w:r w:rsidR="0032665D">
              <w:rPr>
                <w:rFonts w:cs="Arial"/>
              </w:rPr>
              <w:t xml:space="preserve"> and assessment resources. </w:t>
            </w:r>
          </w:p>
          <w:p w14:paraId="11F173C0" w14:textId="5F99D304" w:rsidR="0032665D" w:rsidRPr="00924DEE" w:rsidRDefault="0032665D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Wellbeing resources have been purchased for the nurture Hub that have supported children’s </w:t>
            </w:r>
            <w:r w:rsidR="00214444">
              <w:rPr>
                <w:rFonts w:cs="Arial"/>
              </w:rPr>
              <w:t xml:space="preserve">social skills and </w:t>
            </w:r>
            <w:proofErr w:type="spellStart"/>
            <w:r w:rsidR="00214444">
              <w:rPr>
                <w:rFonts w:cs="Arial"/>
              </w:rPr>
              <w:t>self esteem</w:t>
            </w:r>
            <w:proofErr w:type="spellEnd"/>
            <w:r w:rsidR="00214444">
              <w:rPr>
                <w:rFonts w:cs="Arial"/>
              </w:rPr>
              <w:t>.</w:t>
            </w:r>
          </w:p>
          <w:p w14:paraId="6F63EE19" w14:textId="77777777" w:rsidR="00924DEE" w:rsidRPr="00924DEE" w:rsidRDefault="00924DEE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</w:p>
          <w:p w14:paraId="4B166550" w14:textId="77777777" w:rsidR="007F0CD1" w:rsidRDefault="004B33FB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  <w:r w:rsidRPr="007F0CD1">
              <w:rPr>
                <w:rFonts w:cs="Arial"/>
                <w:b/>
                <w:bCs/>
              </w:rPr>
              <w:t>A</w:t>
            </w:r>
            <w:r w:rsidR="007F0CD1" w:rsidRPr="007F0CD1">
              <w:rPr>
                <w:rFonts w:cs="Arial"/>
                <w:b/>
                <w:bCs/>
              </w:rPr>
              <w:t>ttendance</w:t>
            </w:r>
          </w:p>
          <w:p w14:paraId="65071FBC" w14:textId="77777777" w:rsidR="001F113F" w:rsidRPr="001F113F" w:rsidRDefault="001F113F" w:rsidP="001F113F">
            <w:pPr>
              <w:spacing w:after="0"/>
              <w:jc w:val="both"/>
              <w:rPr>
                <w:rFonts w:cs="Arial"/>
                <w:b/>
                <w:bCs/>
              </w:rPr>
            </w:pPr>
            <w:r w:rsidRPr="001F113F">
              <w:rPr>
                <w:rFonts w:cs="Arial"/>
                <w:b/>
                <w:bCs/>
              </w:rPr>
              <w:t>Attendance percentage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1"/>
              <w:gridCol w:w="711"/>
            </w:tblGrid>
            <w:tr w:rsidR="001F113F" w:rsidRPr="001F113F" w14:paraId="7291160E" w14:textId="77777777" w:rsidTr="001F113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596B9A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Pupil Premium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A81D9E5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93.2%</w:t>
                  </w:r>
                </w:p>
              </w:tc>
            </w:tr>
            <w:tr w:rsidR="001F113F" w:rsidRPr="001F113F" w14:paraId="0B449760" w14:textId="77777777" w:rsidTr="001F113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081E8E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Not Pupil Premium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9891703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97.3%</w:t>
                  </w:r>
                </w:p>
              </w:tc>
            </w:tr>
            <w:tr w:rsidR="001F113F" w:rsidRPr="001F113F" w14:paraId="69FF366F" w14:textId="77777777" w:rsidTr="001F113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6FE3B6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National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7FB2E8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94.8%</w:t>
                  </w:r>
                </w:p>
              </w:tc>
            </w:tr>
            <w:tr w:rsidR="001F113F" w:rsidRPr="001F113F" w14:paraId="33B4EC6E" w14:textId="77777777" w:rsidTr="001F113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D83D73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Local Authority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BA7204" w14:textId="77777777" w:rsidR="001F113F" w:rsidRPr="001F113F" w:rsidRDefault="001F113F" w:rsidP="001F113F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1F113F">
                    <w:rPr>
                      <w:rFonts w:cs="Arial"/>
                    </w:rPr>
                    <w:t>94.3%</w:t>
                  </w:r>
                </w:p>
              </w:tc>
            </w:tr>
          </w:tbl>
          <w:p w14:paraId="7A36A510" w14:textId="77777777" w:rsidR="00050867" w:rsidRDefault="00050867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</w:p>
          <w:p w14:paraId="146F6DA4" w14:textId="4AB1F6E5" w:rsidR="00EC69D0" w:rsidRPr="00DD673B" w:rsidRDefault="00A43D81" w:rsidP="005461EE">
            <w:pPr>
              <w:spacing w:after="0"/>
              <w:jc w:val="both"/>
              <w:rPr>
                <w:rFonts w:cs="Arial"/>
              </w:rPr>
            </w:pPr>
            <w:r w:rsidRPr="00DD673B">
              <w:rPr>
                <w:rFonts w:cs="Arial"/>
              </w:rPr>
              <w:t xml:space="preserve">Attendance is monitored </w:t>
            </w:r>
            <w:r w:rsidR="00DD673B" w:rsidRPr="00DD673B">
              <w:rPr>
                <w:rFonts w:cs="Arial"/>
              </w:rPr>
              <w:t xml:space="preserve">daily by senior leaders and office staff. </w:t>
            </w:r>
            <w:r w:rsidR="00025EB5">
              <w:rPr>
                <w:rFonts w:cs="Arial"/>
              </w:rPr>
              <w:t xml:space="preserve">Letters to parents are sent where an attendance concern arises and parent meetings take place. </w:t>
            </w:r>
            <w:r w:rsidR="00F70BDB">
              <w:rPr>
                <w:rFonts w:cs="Arial"/>
              </w:rPr>
              <w:t xml:space="preserve">Penalty notice referrals to the local authority are sent whereby a </w:t>
            </w:r>
            <w:r w:rsidR="00853A75">
              <w:rPr>
                <w:rFonts w:cs="Arial"/>
              </w:rPr>
              <w:t xml:space="preserve">child meets the DFE threshold. </w:t>
            </w:r>
          </w:p>
          <w:p w14:paraId="10E23617" w14:textId="77777777" w:rsidR="00EC69D0" w:rsidRDefault="00EC69D0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</w:p>
          <w:p w14:paraId="2CF36209" w14:textId="0141FC52" w:rsidR="00050867" w:rsidRDefault="00873F27" w:rsidP="005461EE">
            <w:pPr>
              <w:spacing w:after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Curriculum Development</w:t>
            </w:r>
            <w:r w:rsidR="009D5C37">
              <w:rPr>
                <w:rFonts w:cs="Arial"/>
                <w:b/>
                <w:bCs/>
              </w:rPr>
              <w:t xml:space="preserve"> and teaching and learning</w:t>
            </w:r>
          </w:p>
          <w:p w14:paraId="6137A001" w14:textId="77777777" w:rsidR="00873F27" w:rsidRDefault="00954A7F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Senior Leaders have continued to support middle leaders to develop foundation subjects</w:t>
            </w:r>
            <w:r w:rsidR="009D5C37">
              <w:rPr>
                <w:rFonts w:cs="Arial"/>
              </w:rPr>
              <w:t xml:space="preserve"> to ensure that the curriculum for all is ambitious, broad and well sequenced. </w:t>
            </w:r>
          </w:p>
          <w:p w14:paraId="11129AF5" w14:textId="77777777" w:rsidR="009D5C37" w:rsidRDefault="009D5C37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Formative and summative assessments have been developed with the use of the Insight platform and the purchase of </w:t>
            </w:r>
            <w:proofErr w:type="spellStart"/>
            <w:r>
              <w:rPr>
                <w:rFonts w:cs="Arial"/>
              </w:rPr>
              <w:t>TestBase</w:t>
            </w:r>
            <w:proofErr w:type="spellEnd"/>
            <w:r>
              <w:rPr>
                <w:rFonts w:cs="Arial"/>
              </w:rPr>
              <w:t xml:space="preserve"> to inform teaching assessment and in turn adapt curriculum plans. </w:t>
            </w:r>
          </w:p>
          <w:p w14:paraId="6A68F4E6" w14:textId="77777777" w:rsidR="00C179AB" w:rsidRDefault="00C179AB" w:rsidP="005461EE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Leaders have continued to use WALKTHRU clusters to develop pedagogical approaches throughout school, with monitoring evidencing further development of teachers’ modelling, questioning and feedback, as well as </w:t>
            </w:r>
            <w:r w:rsidR="00722EEA">
              <w:rPr>
                <w:rFonts w:cs="Arial"/>
              </w:rPr>
              <w:t xml:space="preserve">the positive framing of behaviour reminders. </w:t>
            </w:r>
          </w:p>
          <w:p w14:paraId="19C3687D" w14:textId="77777777" w:rsidR="004074B3" w:rsidRDefault="004074B3" w:rsidP="005461EE">
            <w:pPr>
              <w:spacing w:after="0"/>
              <w:jc w:val="both"/>
              <w:rPr>
                <w:rFonts w:cs="Arial"/>
              </w:rPr>
            </w:pPr>
          </w:p>
          <w:p w14:paraId="378E0A32" w14:textId="77777777" w:rsidR="004074B3" w:rsidRDefault="004074B3" w:rsidP="00817FC2">
            <w:pPr>
              <w:spacing w:after="0"/>
              <w:jc w:val="both"/>
              <w:rPr>
                <w:rFonts w:cs="Arial"/>
                <w:b/>
                <w:bCs/>
              </w:rPr>
            </w:pPr>
            <w:r w:rsidRPr="004074B3">
              <w:rPr>
                <w:rFonts w:cs="Arial"/>
                <w:b/>
                <w:bCs/>
              </w:rPr>
              <w:t>Enrichment</w:t>
            </w:r>
          </w:p>
          <w:p w14:paraId="3C9E75B4" w14:textId="77777777" w:rsidR="0009007F" w:rsidRDefault="00817FC2" w:rsidP="0009007F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Class trips (such as Alton castle, Pioneer Centre, </w:t>
            </w:r>
            <w:r w:rsidR="0009007F">
              <w:rPr>
                <w:rFonts w:cs="Arial"/>
              </w:rPr>
              <w:t>Black Country Living Museum, Botanical Gardens and others)</w:t>
            </w:r>
          </w:p>
          <w:p w14:paraId="2A7D5546" w14:textId="14FD34E7" w:rsidR="0009007F" w:rsidRPr="0009007F" w:rsidRDefault="0009007F" w:rsidP="0009007F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Targeted children attended </w:t>
            </w:r>
            <w:proofErr w:type="spellStart"/>
            <w:r>
              <w:rPr>
                <w:rFonts w:cs="Arial"/>
              </w:rPr>
              <w:t>extra curricular</w:t>
            </w:r>
            <w:proofErr w:type="spellEnd"/>
            <w:r>
              <w:rPr>
                <w:rFonts w:cs="Arial"/>
              </w:rPr>
              <w:t xml:space="preserve"> clubs</w:t>
            </w: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lastRenderedPageBreak/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3FDF4F1A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 w:rsidTr="3FDF4F1A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3623" w14:textId="77777777" w:rsidR="00E66558" w:rsidRDefault="000F53F3">
            <w:pPr>
              <w:pStyle w:val="TableRow"/>
            </w:pPr>
            <w:r>
              <w:t xml:space="preserve">Maths Mastery Approach </w:t>
            </w:r>
            <w:r w:rsidR="00730CAF">
              <w:t>– Sustaining Programme</w:t>
            </w:r>
          </w:p>
          <w:p w14:paraId="2A7D554D" w14:textId="6539A49A" w:rsidR="00056940" w:rsidRDefault="00056940">
            <w:pPr>
              <w:pStyle w:val="TableRow"/>
            </w:pPr>
            <w:r>
              <w:t>Mastering Number Programme (Reception and KS1)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EBB02A9" w:rsidR="00E66558" w:rsidRDefault="000F53F3">
            <w:pPr>
              <w:pStyle w:val="TableRowCentered"/>
              <w:jc w:val="left"/>
            </w:pPr>
            <w:r>
              <w:t>Maths Hub</w:t>
            </w:r>
            <w:r w:rsidR="0003676F">
              <w:t xml:space="preserve"> – no fee</w:t>
            </w:r>
            <w:r w:rsidR="00C54763">
              <w:t xml:space="preserve"> </w:t>
            </w:r>
            <w:r w:rsidR="00B73452">
              <w:t>–</w:t>
            </w:r>
            <w:r w:rsidR="00C54763">
              <w:t xml:space="preserve"> te</w:t>
            </w:r>
            <w:r w:rsidR="00B73452">
              <w:t xml:space="preserve">acher time to provide training to staff and attend meetings </w:t>
            </w:r>
          </w:p>
        </w:tc>
      </w:tr>
      <w:tr w:rsidR="00730CAF" w14:paraId="2AEBBB80" w14:textId="77777777" w:rsidTr="3FDF4F1A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5D51" w14:textId="7EABE072" w:rsidR="00730CAF" w:rsidRDefault="00730CAF">
            <w:pPr>
              <w:pStyle w:val="TableRow"/>
            </w:pPr>
            <w:r>
              <w:t xml:space="preserve">Maths on the Move/Active Maths 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BFD2" w14:textId="5258E0CC" w:rsidR="00730CAF" w:rsidRDefault="00730CAF">
            <w:pPr>
              <w:pStyle w:val="TableRowCentered"/>
              <w:jc w:val="left"/>
            </w:pPr>
            <w:r>
              <w:t>RB Gym and Sport – paid through PE SPG Funding</w:t>
            </w:r>
          </w:p>
        </w:tc>
      </w:tr>
      <w:tr w:rsidR="007E7778" w14:paraId="735E922B" w14:textId="77777777" w:rsidTr="3FDF4F1A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A61A" w14:textId="35030BE2" w:rsidR="007E7778" w:rsidRDefault="00627935">
            <w:pPr>
              <w:pStyle w:val="TableRow"/>
            </w:pPr>
            <w:r>
              <w:t xml:space="preserve">Mentor Link </w:t>
            </w:r>
            <w:r w:rsidR="00B029C6">
              <w:t>Support Advisors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EFC0" w14:textId="3A49F3B4" w:rsidR="007E7778" w:rsidRDefault="008B3EA7">
            <w:pPr>
              <w:pStyle w:val="TableRowCentered"/>
              <w:jc w:val="left"/>
            </w:pPr>
            <w:r>
              <w:t>Mentor Link</w:t>
            </w:r>
          </w:p>
        </w:tc>
      </w:tr>
      <w:tr w:rsidR="3FDF4F1A" w14:paraId="6132A805" w14:textId="77777777" w:rsidTr="3FDF4F1A">
        <w:trPr>
          <w:trHeight w:val="30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74F" w14:textId="7A9019B4" w:rsidR="57048FCC" w:rsidRDefault="57048FCC" w:rsidP="3FDF4F1A">
            <w:pPr>
              <w:pStyle w:val="TableRow"/>
            </w:pPr>
            <w:r>
              <w:t>Tom Sherrington Walkthrus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278A" w14:textId="12C2033F" w:rsidR="57048FCC" w:rsidRDefault="57048FCC" w:rsidP="3FDF4F1A">
            <w:pPr>
              <w:pStyle w:val="TableRowCentered"/>
              <w:jc w:val="left"/>
            </w:pPr>
            <w:proofErr w:type="spellStart"/>
            <w:r>
              <w:t>Walkthrus</w:t>
            </w:r>
            <w:proofErr w:type="spellEnd"/>
          </w:p>
        </w:tc>
      </w:tr>
    </w:tbl>
    <w:p w14:paraId="0DA05FF5" w14:textId="77777777" w:rsidR="0053350A" w:rsidRDefault="0053350A">
      <w:pPr>
        <w:pStyle w:val="Heading2"/>
        <w:spacing w:before="600"/>
      </w:pPr>
    </w:p>
    <w:p w14:paraId="2A7D5553" w14:textId="485C07B4" w:rsidR="00E66558" w:rsidRDefault="009D71E8">
      <w:pPr>
        <w:pStyle w:val="Heading2"/>
        <w:spacing w:before="600"/>
      </w:pPr>
      <w:r>
        <w:t>Service pupil premium funding (optional)</w:t>
      </w:r>
    </w:p>
    <w:p w14:paraId="2A7D5554" w14:textId="77777777" w:rsidR="00E66558" w:rsidRDefault="009D71E8">
      <w:pPr>
        <w:rPr>
          <w:i/>
          <w:iCs/>
        </w:rPr>
      </w:pPr>
      <w:r>
        <w:rPr>
          <w:i/>
          <w:iCs/>
        </w:rPr>
        <w:t xml:space="preserve">For schools that receive this funding, you may wish to provide the following information: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5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5" w14:textId="77777777" w:rsidR="00E66558" w:rsidRDefault="009D71E8">
            <w:pPr>
              <w:pStyle w:val="TableHeader"/>
              <w:jc w:val="left"/>
            </w:pPr>
            <w:bookmarkStart w:id="17" w:name="_Hlk80604898"/>
            <w:r>
              <w:rPr>
                <w:bCs/>
              </w:rPr>
              <w:t>Measure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6" w14:textId="77777777" w:rsidR="00E66558" w:rsidRDefault="009D71E8">
            <w:pPr>
              <w:pStyle w:val="TableHeader"/>
              <w:jc w:val="left"/>
            </w:pPr>
            <w:r>
              <w:rPr>
                <w:bCs/>
              </w:rPr>
              <w:t xml:space="preserve">Details </w:t>
            </w:r>
          </w:p>
        </w:tc>
      </w:tr>
      <w:tr w:rsidR="00E66558" w14:paraId="2A7D555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8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How did you spend your service pupil premium allocation last academic year?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9" w14:textId="50DB74B4" w:rsidR="00E66558" w:rsidRDefault="00B108D6">
            <w:pPr>
              <w:pStyle w:val="TableRowCentered"/>
              <w:jc w:val="left"/>
            </w:pPr>
            <w:r>
              <w:t>N/A</w:t>
            </w:r>
          </w:p>
        </w:tc>
      </w:tr>
      <w:tr w:rsidR="00E66558" w14:paraId="2A7D555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B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What was the impact of that spending on service pupil premium eligible pupils?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C" w14:textId="3E37E682" w:rsidR="00E66558" w:rsidRDefault="00B108D6">
            <w:pPr>
              <w:pStyle w:val="TableRowCentered"/>
              <w:jc w:val="left"/>
            </w:pPr>
            <w:r>
              <w:t>N/A</w:t>
            </w:r>
          </w:p>
        </w:tc>
      </w:tr>
      <w:bookmarkEnd w:id="17"/>
    </w:tbl>
    <w:p w14:paraId="2A7D555E" w14:textId="77777777" w:rsidR="00E66558" w:rsidRDefault="00E66558"/>
    <w:p w14:paraId="10AE1F1B" w14:textId="77777777" w:rsidR="002D3E6B" w:rsidRDefault="002D3E6B" w:rsidP="002D3E6B">
      <w:pPr>
        <w:pStyle w:val="Heading1"/>
      </w:pPr>
      <w:r>
        <w:lastRenderedPageBreak/>
        <w:t>Key Areas for Development 2024/25 (with Supporting Data)</w:t>
      </w:r>
    </w:p>
    <w:p w14:paraId="02EC007D" w14:textId="77777777" w:rsidR="002D3E6B" w:rsidRDefault="002D3E6B" w:rsidP="002D3E6B">
      <w:pPr>
        <w:pStyle w:val="Heading2"/>
      </w:pPr>
      <w:r>
        <w:t>1. Pupil Premium (PP) Outcomes and Attendance</w:t>
      </w:r>
    </w:p>
    <w:p w14:paraId="32DB7F4C" w14:textId="77777777" w:rsidR="002D3E6B" w:rsidRDefault="002D3E6B" w:rsidP="002D3E6B">
      <w:pPr>
        <w:pStyle w:val="ListBullet"/>
        <w:tabs>
          <w:tab w:val="num" w:pos="360"/>
        </w:tabs>
        <w:suppressAutoHyphens w:val="0"/>
        <w:autoSpaceDN/>
        <w:spacing w:after="200" w:line="276" w:lineRule="auto"/>
        <w:ind w:left="360"/>
      </w:pPr>
      <w:r>
        <w:t>Only 43% of PP pupils are at Age-Related Expectations (ARE) in Reading, Writing, and Maths (RWM) combined, compared to 70% of non-PP pupils.</w:t>
      </w:r>
    </w:p>
    <w:p w14:paraId="29AF4FD1" w14:textId="77777777" w:rsidR="002D3E6B" w:rsidRDefault="002D3E6B" w:rsidP="002D3E6B">
      <w:pPr>
        <w:pStyle w:val="ListBullet"/>
        <w:tabs>
          <w:tab w:val="num" w:pos="360"/>
        </w:tabs>
        <w:suppressAutoHyphens w:val="0"/>
        <w:autoSpaceDN/>
        <w:spacing w:after="200" w:line="276" w:lineRule="auto"/>
        <w:ind w:left="360"/>
      </w:pPr>
      <w:r>
        <w:t>In Year 6, just 33% of PP pupils achieved ARE in RWM combined (vs 79% for non-PP).</w:t>
      </w:r>
    </w:p>
    <w:p w14:paraId="4595E12A" w14:textId="77777777" w:rsidR="002D3E6B" w:rsidRDefault="002D3E6B" w:rsidP="002D3E6B">
      <w:pPr>
        <w:pStyle w:val="ListBullet"/>
        <w:tabs>
          <w:tab w:val="num" w:pos="360"/>
        </w:tabs>
        <w:suppressAutoHyphens w:val="0"/>
        <w:autoSpaceDN/>
        <w:spacing w:after="200" w:line="276" w:lineRule="auto"/>
        <w:ind w:left="360"/>
      </w:pPr>
      <w:r>
        <w:t>Only 50% of PP pupils are at ARE in Maths (vs 81% for non-PP).</w:t>
      </w:r>
    </w:p>
    <w:p w14:paraId="21EBD2BD" w14:textId="77777777" w:rsidR="002D3E6B" w:rsidRDefault="002D3E6B" w:rsidP="002D3E6B">
      <w:pPr>
        <w:pStyle w:val="ListBullet"/>
        <w:tabs>
          <w:tab w:val="num" w:pos="360"/>
        </w:tabs>
        <w:suppressAutoHyphens w:val="0"/>
        <w:autoSpaceDN/>
        <w:spacing w:after="200" w:line="276" w:lineRule="auto"/>
        <w:ind w:left="360"/>
      </w:pPr>
      <w:r>
        <w:t>PP attendance is 93.2%, below the school average of 97.0% and non-PP at 97.3%.</w:t>
      </w:r>
    </w:p>
    <w:p w14:paraId="2A7D555F" w14:textId="77777777" w:rsidR="00E66558" w:rsidRDefault="00E66558">
      <w:pPr>
        <w:spacing w:after="0" w:line="240" w:lineRule="auto"/>
      </w:pPr>
    </w:p>
    <w:bookmarkEnd w:id="14"/>
    <w:bookmarkEnd w:id="15"/>
    <w:bookmarkEnd w:id="16"/>
    <w:p w14:paraId="2A7D5564" w14:textId="77777777" w:rsidR="00E66558" w:rsidRDefault="00E66558"/>
    <w:sectPr w:rsidR="00E665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A6C9" w14:textId="77777777" w:rsidR="009E7CA7" w:rsidRDefault="009E7CA7">
      <w:pPr>
        <w:spacing w:after="0" w:line="240" w:lineRule="auto"/>
      </w:pPr>
      <w:r>
        <w:separator/>
      </w:r>
    </w:p>
  </w:endnote>
  <w:endnote w:type="continuationSeparator" w:id="0">
    <w:p w14:paraId="38206D73" w14:textId="77777777" w:rsidR="009E7CA7" w:rsidRDefault="009E7CA7">
      <w:pPr>
        <w:spacing w:after="0" w:line="240" w:lineRule="auto"/>
      </w:pPr>
      <w:r>
        <w:continuationSeparator/>
      </w:r>
    </w:p>
  </w:endnote>
  <w:endnote w:type="continuationNotice" w:id="1">
    <w:p w14:paraId="41F08BA1" w14:textId="77777777" w:rsidR="009E7CA7" w:rsidRDefault="009E7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0E8E" w14:textId="77777777" w:rsidR="007E2C60" w:rsidRDefault="007E2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6F103F7C" w:rsidR="00AB2997" w:rsidRDefault="00AB2997" w:rsidP="1DD0C1A9">
    <w:pPr>
      <w:pStyle w:val="TableRow"/>
    </w:pPr>
    <w:r>
      <w:fldChar w:fldCharType="begin"/>
    </w:r>
    <w:r>
      <w:instrText xml:space="preserve"> PAGE </w:instrText>
    </w:r>
    <w:r>
      <w:fldChar w:fldCharType="separate"/>
    </w:r>
    <w:r w:rsidR="1DD0C1A9"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05AB" w14:textId="77777777" w:rsidR="007E2C60" w:rsidRDefault="007E2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AC56" w14:textId="77777777" w:rsidR="009E7CA7" w:rsidRDefault="009E7CA7">
      <w:pPr>
        <w:spacing w:after="0" w:line="240" w:lineRule="auto"/>
      </w:pPr>
      <w:r>
        <w:separator/>
      </w:r>
    </w:p>
  </w:footnote>
  <w:footnote w:type="continuationSeparator" w:id="0">
    <w:p w14:paraId="36E1ECC0" w14:textId="77777777" w:rsidR="009E7CA7" w:rsidRDefault="009E7CA7">
      <w:pPr>
        <w:spacing w:after="0" w:line="240" w:lineRule="auto"/>
      </w:pPr>
      <w:r>
        <w:continuationSeparator/>
      </w:r>
    </w:p>
  </w:footnote>
  <w:footnote w:type="continuationNotice" w:id="1">
    <w:p w14:paraId="198F4EAA" w14:textId="77777777" w:rsidR="009E7CA7" w:rsidRDefault="009E7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DAF4" w14:textId="77777777" w:rsidR="007E2C60" w:rsidRDefault="007E2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2CD25C7A" w:rsidR="00AB2997" w:rsidRDefault="00AB2997" w:rsidP="1DD0C1A9">
    <w:pPr>
      <w:pStyle w:val="TableRow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E6D" w14:textId="77777777" w:rsidR="007E2C60" w:rsidRDefault="007E2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434560"/>
    <w:multiLevelType w:val="hybridMultilevel"/>
    <w:tmpl w:val="49B8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14F027B"/>
    <w:multiLevelType w:val="hybridMultilevel"/>
    <w:tmpl w:val="B684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EAB0C58"/>
    <w:multiLevelType w:val="hybridMultilevel"/>
    <w:tmpl w:val="61D0BCE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AF167AA"/>
    <w:multiLevelType w:val="hybridMultilevel"/>
    <w:tmpl w:val="7DC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34166182">
    <w:abstractNumId w:val="6"/>
  </w:num>
  <w:num w:numId="2" w16cid:durableId="1570850542">
    <w:abstractNumId w:val="3"/>
  </w:num>
  <w:num w:numId="3" w16cid:durableId="858081911">
    <w:abstractNumId w:val="7"/>
  </w:num>
  <w:num w:numId="4" w16cid:durableId="2119135454">
    <w:abstractNumId w:val="9"/>
  </w:num>
  <w:num w:numId="5" w16cid:durableId="1483695416">
    <w:abstractNumId w:val="1"/>
  </w:num>
  <w:num w:numId="6" w16cid:durableId="1974292897">
    <w:abstractNumId w:val="10"/>
  </w:num>
  <w:num w:numId="7" w16cid:durableId="1861241138">
    <w:abstractNumId w:val="12"/>
  </w:num>
  <w:num w:numId="8" w16cid:durableId="1570848510">
    <w:abstractNumId w:val="17"/>
  </w:num>
  <w:num w:numId="9" w16cid:durableId="1115566260">
    <w:abstractNumId w:val="15"/>
  </w:num>
  <w:num w:numId="10" w16cid:durableId="1093013264">
    <w:abstractNumId w:val="14"/>
  </w:num>
  <w:num w:numId="11" w16cid:durableId="154954570">
    <w:abstractNumId w:val="4"/>
  </w:num>
  <w:num w:numId="12" w16cid:durableId="505049148">
    <w:abstractNumId w:val="16"/>
  </w:num>
  <w:num w:numId="13" w16cid:durableId="1594901013">
    <w:abstractNumId w:val="11"/>
  </w:num>
  <w:num w:numId="14" w16cid:durableId="1006328921">
    <w:abstractNumId w:val="8"/>
  </w:num>
  <w:num w:numId="15" w16cid:durableId="1000430080">
    <w:abstractNumId w:val="13"/>
  </w:num>
  <w:num w:numId="16" w16cid:durableId="1520435913">
    <w:abstractNumId w:val="2"/>
  </w:num>
  <w:num w:numId="17" w16cid:durableId="961887179">
    <w:abstractNumId w:val="5"/>
  </w:num>
  <w:num w:numId="18" w16cid:durableId="17715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4AB0"/>
    <w:rsid w:val="000063AD"/>
    <w:rsid w:val="00006ADC"/>
    <w:rsid w:val="000144DB"/>
    <w:rsid w:val="00025EB5"/>
    <w:rsid w:val="00026EA8"/>
    <w:rsid w:val="000324D5"/>
    <w:rsid w:val="0003676F"/>
    <w:rsid w:val="00041883"/>
    <w:rsid w:val="00050867"/>
    <w:rsid w:val="000515D4"/>
    <w:rsid w:val="00052983"/>
    <w:rsid w:val="00053CE3"/>
    <w:rsid w:val="00056940"/>
    <w:rsid w:val="000570C3"/>
    <w:rsid w:val="00065D49"/>
    <w:rsid w:val="00066B73"/>
    <w:rsid w:val="00067F67"/>
    <w:rsid w:val="00080827"/>
    <w:rsid w:val="0008289E"/>
    <w:rsid w:val="00083031"/>
    <w:rsid w:val="00084C94"/>
    <w:rsid w:val="00085823"/>
    <w:rsid w:val="0009007F"/>
    <w:rsid w:val="00094062"/>
    <w:rsid w:val="000944D4"/>
    <w:rsid w:val="00095E70"/>
    <w:rsid w:val="000A30B0"/>
    <w:rsid w:val="000A4DA5"/>
    <w:rsid w:val="000A608F"/>
    <w:rsid w:val="000B4911"/>
    <w:rsid w:val="000E7BCC"/>
    <w:rsid w:val="000F3EF5"/>
    <w:rsid w:val="000F52F3"/>
    <w:rsid w:val="000F53F3"/>
    <w:rsid w:val="0010107F"/>
    <w:rsid w:val="00107547"/>
    <w:rsid w:val="00115A8B"/>
    <w:rsid w:val="00120AB1"/>
    <w:rsid w:val="001273DB"/>
    <w:rsid w:val="00131BB1"/>
    <w:rsid w:val="0013620D"/>
    <w:rsid w:val="00140852"/>
    <w:rsid w:val="00147544"/>
    <w:rsid w:val="00153F63"/>
    <w:rsid w:val="00156292"/>
    <w:rsid w:val="00157EF8"/>
    <w:rsid w:val="00170734"/>
    <w:rsid w:val="0017417C"/>
    <w:rsid w:val="00174296"/>
    <w:rsid w:val="00182891"/>
    <w:rsid w:val="00182D77"/>
    <w:rsid w:val="00187B60"/>
    <w:rsid w:val="001C5E07"/>
    <w:rsid w:val="001D31CE"/>
    <w:rsid w:val="001E1CB2"/>
    <w:rsid w:val="001F113F"/>
    <w:rsid w:val="001F19D1"/>
    <w:rsid w:val="001F4D73"/>
    <w:rsid w:val="001F79B3"/>
    <w:rsid w:val="0020182F"/>
    <w:rsid w:val="002100CF"/>
    <w:rsid w:val="00210DD2"/>
    <w:rsid w:val="00211381"/>
    <w:rsid w:val="00214444"/>
    <w:rsid w:val="00221E3F"/>
    <w:rsid w:val="002255FC"/>
    <w:rsid w:val="00226BB2"/>
    <w:rsid w:val="00245127"/>
    <w:rsid w:val="0024689F"/>
    <w:rsid w:val="00247466"/>
    <w:rsid w:val="002568DD"/>
    <w:rsid w:val="0025730C"/>
    <w:rsid w:val="00262C5A"/>
    <w:rsid w:val="0027567B"/>
    <w:rsid w:val="00284C30"/>
    <w:rsid w:val="0028793A"/>
    <w:rsid w:val="00296DC0"/>
    <w:rsid w:val="0029761B"/>
    <w:rsid w:val="002A3774"/>
    <w:rsid w:val="002B5779"/>
    <w:rsid w:val="002C67BE"/>
    <w:rsid w:val="002D3E6B"/>
    <w:rsid w:val="002D4665"/>
    <w:rsid w:val="002E603E"/>
    <w:rsid w:val="002E684A"/>
    <w:rsid w:val="002F464B"/>
    <w:rsid w:val="002F5026"/>
    <w:rsid w:val="002F6EF8"/>
    <w:rsid w:val="00300E9E"/>
    <w:rsid w:val="00301C71"/>
    <w:rsid w:val="00324EBF"/>
    <w:rsid w:val="0032665D"/>
    <w:rsid w:val="003268FD"/>
    <w:rsid w:val="00331EB1"/>
    <w:rsid w:val="00332E79"/>
    <w:rsid w:val="00350CF5"/>
    <w:rsid w:val="003654BB"/>
    <w:rsid w:val="00370769"/>
    <w:rsid w:val="00375A48"/>
    <w:rsid w:val="00387985"/>
    <w:rsid w:val="00390C1F"/>
    <w:rsid w:val="003A20EE"/>
    <w:rsid w:val="003A3E41"/>
    <w:rsid w:val="003A44AD"/>
    <w:rsid w:val="003A7005"/>
    <w:rsid w:val="003B09DB"/>
    <w:rsid w:val="003E15F6"/>
    <w:rsid w:val="003E181A"/>
    <w:rsid w:val="003E1851"/>
    <w:rsid w:val="003E67D7"/>
    <w:rsid w:val="003E7EFD"/>
    <w:rsid w:val="003F0805"/>
    <w:rsid w:val="003F4D88"/>
    <w:rsid w:val="003F6AE1"/>
    <w:rsid w:val="004026CB"/>
    <w:rsid w:val="004044AA"/>
    <w:rsid w:val="004059E3"/>
    <w:rsid w:val="00405ED7"/>
    <w:rsid w:val="004074B3"/>
    <w:rsid w:val="00410DD5"/>
    <w:rsid w:val="00410FD4"/>
    <w:rsid w:val="0041261C"/>
    <w:rsid w:val="00416896"/>
    <w:rsid w:val="00423765"/>
    <w:rsid w:val="00424B4A"/>
    <w:rsid w:val="004300F7"/>
    <w:rsid w:val="00432007"/>
    <w:rsid w:val="00435A55"/>
    <w:rsid w:val="00451569"/>
    <w:rsid w:val="00451575"/>
    <w:rsid w:val="0046376B"/>
    <w:rsid w:val="0046633B"/>
    <w:rsid w:val="00484B13"/>
    <w:rsid w:val="00484C5B"/>
    <w:rsid w:val="00486752"/>
    <w:rsid w:val="00486856"/>
    <w:rsid w:val="004910D3"/>
    <w:rsid w:val="004962C6"/>
    <w:rsid w:val="00497FFA"/>
    <w:rsid w:val="004A5000"/>
    <w:rsid w:val="004B00CF"/>
    <w:rsid w:val="004B1192"/>
    <w:rsid w:val="004B33FB"/>
    <w:rsid w:val="004B680A"/>
    <w:rsid w:val="004C5ED4"/>
    <w:rsid w:val="004E3A25"/>
    <w:rsid w:val="004F1450"/>
    <w:rsid w:val="004F31FF"/>
    <w:rsid w:val="004F7F6D"/>
    <w:rsid w:val="00503823"/>
    <w:rsid w:val="00503FA3"/>
    <w:rsid w:val="00504B6B"/>
    <w:rsid w:val="00511535"/>
    <w:rsid w:val="00513139"/>
    <w:rsid w:val="00514AEF"/>
    <w:rsid w:val="00516B57"/>
    <w:rsid w:val="005231DD"/>
    <w:rsid w:val="005261A9"/>
    <w:rsid w:val="00526D30"/>
    <w:rsid w:val="005313BB"/>
    <w:rsid w:val="00532D68"/>
    <w:rsid w:val="0053350A"/>
    <w:rsid w:val="0054074B"/>
    <w:rsid w:val="005426B6"/>
    <w:rsid w:val="00544A92"/>
    <w:rsid w:val="005461EE"/>
    <w:rsid w:val="0054710A"/>
    <w:rsid w:val="0055150A"/>
    <w:rsid w:val="005522BF"/>
    <w:rsid w:val="00552EC0"/>
    <w:rsid w:val="00561459"/>
    <w:rsid w:val="00574B10"/>
    <w:rsid w:val="0057525B"/>
    <w:rsid w:val="0057710D"/>
    <w:rsid w:val="00577CF3"/>
    <w:rsid w:val="0058238E"/>
    <w:rsid w:val="0058474D"/>
    <w:rsid w:val="00584E57"/>
    <w:rsid w:val="00587DB6"/>
    <w:rsid w:val="00592515"/>
    <w:rsid w:val="00593C4F"/>
    <w:rsid w:val="005947A0"/>
    <w:rsid w:val="005A1533"/>
    <w:rsid w:val="005A54F1"/>
    <w:rsid w:val="005B71D6"/>
    <w:rsid w:val="005E2957"/>
    <w:rsid w:val="005E567E"/>
    <w:rsid w:val="005E7B52"/>
    <w:rsid w:val="0060570D"/>
    <w:rsid w:val="00621622"/>
    <w:rsid w:val="00627935"/>
    <w:rsid w:val="006305FD"/>
    <w:rsid w:val="00636F28"/>
    <w:rsid w:val="006400BD"/>
    <w:rsid w:val="006459E4"/>
    <w:rsid w:val="00645F65"/>
    <w:rsid w:val="00646145"/>
    <w:rsid w:val="00657152"/>
    <w:rsid w:val="0066165E"/>
    <w:rsid w:val="00664E15"/>
    <w:rsid w:val="006655B4"/>
    <w:rsid w:val="00665896"/>
    <w:rsid w:val="0067248B"/>
    <w:rsid w:val="006725C7"/>
    <w:rsid w:val="006760C2"/>
    <w:rsid w:val="00680949"/>
    <w:rsid w:val="0068392A"/>
    <w:rsid w:val="00686B9C"/>
    <w:rsid w:val="00692072"/>
    <w:rsid w:val="006940D0"/>
    <w:rsid w:val="006A432A"/>
    <w:rsid w:val="006C1E5B"/>
    <w:rsid w:val="006C2A3C"/>
    <w:rsid w:val="006C2B0F"/>
    <w:rsid w:val="006C4C84"/>
    <w:rsid w:val="006C55D8"/>
    <w:rsid w:val="006D1988"/>
    <w:rsid w:val="006D7836"/>
    <w:rsid w:val="006E7FB1"/>
    <w:rsid w:val="006F1362"/>
    <w:rsid w:val="006F2AFD"/>
    <w:rsid w:val="006F7F7A"/>
    <w:rsid w:val="007024AE"/>
    <w:rsid w:val="00704C36"/>
    <w:rsid w:val="00716429"/>
    <w:rsid w:val="007203F5"/>
    <w:rsid w:val="00722EEA"/>
    <w:rsid w:val="00723317"/>
    <w:rsid w:val="00723C30"/>
    <w:rsid w:val="00730CAF"/>
    <w:rsid w:val="007353E0"/>
    <w:rsid w:val="00735874"/>
    <w:rsid w:val="007360C4"/>
    <w:rsid w:val="00736A02"/>
    <w:rsid w:val="00736F28"/>
    <w:rsid w:val="007371B4"/>
    <w:rsid w:val="007371DE"/>
    <w:rsid w:val="00737348"/>
    <w:rsid w:val="00741B9E"/>
    <w:rsid w:val="00742DEE"/>
    <w:rsid w:val="00745E99"/>
    <w:rsid w:val="007539F3"/>
    <w:rsid w:val="00755EEA"/>
    <w:rsid w:val="0075737C"/>
    <w:rsid w:val="0075746C"/>
    <w:rsid w:val="00762755"/>
    <w:rsid w:val="007647BB"/>
    <w:rsid w:val="00774530"/>
    <w:rsid w:val="00774F75"/>
    <w:rsid w:val="007750C6"/>
    <w:rsid w:val="007774A4"/>
    <w:rsid w:val="0079011F"/>
    <w:rsid w:val="00790E25"/>
    <w:rsid w:val="00796255"/>
    <w:rsid w:val="007A5341"/>
    <w:rsid w:val="007C2F04"/>
    <w:rsid w:val="007E1E13"/>
    <w:rsid w:val="007E2C60"/>
    <w:rsid w:val="007E3195"/>
    <w:rsid w:val="007E6738"/>
    <w:rsid w:val="007E7778"/>
    <w:rsid w:val="007F0CD1"/>
    <w:rsid w:val="0080130B"/>
    <w:rsid w:val="00801D60"/>
    <w:rsid w:val="008110E8"/>
    <w:rsid w:val="00813E50"/>
    <w:rsid w:val="0081495B"/>
    <w:rsid w:val="00815042"/>
    <w:rsid w:val="00817FC2"/>
    <w:rsid w:val="00820DCF"/>
    <w:rsid w:val="00822632"/>
    <w:rsid w:val="008264B8"/>
    <w:rsid w:val="00826C73"/>
    <w:rsid w:val="008319B5"/>
    <w:rsid w:val="008418EE"/>
    <w:rsid w:val="00851590"/>
    <w:rsid w:val="00852525"/>
    <w:rsid w:val="00853A75"/>
    <w:rsid w:val="00857BEC"/>
    <w:rsid w:val="00861C0F"/>
    <w:rsid w:val="00870797"/>
    <w:rsid w:val="00873F27"/>
    <w:rsid w:val="00875993"/>
    <w:rsid w:val="00880BAF"/>
    <w:rsid w:val="00890750"/>
    <w:rsid w:val="008934BD"/>
    <w:rsid w:val="008A09AA"/>
    <w:rsid w:val="008A4D1F"/>
    <w:rsid w:val="008B13F9"/>
    <w:rsid w:val="008B3EA7"/>
    <w:rsid w:val="008B4D98"/>
    <w:rsid w:val="008B58A7"/>
    <w:rsid w:val="008D16BB"/>
    <w:rsid w:val="008D2B9E"/>
    <w:rsid w:val="008D4426"/>
    <w:rsid w:val="008E52AD"/>
    <w:rsid w:val="008F2DB6"/>
    <w:rsid w:val="008F412E"/>
    <w:rsid w:val="0090742C"/>
    <w:rsid w:val="00910B9D"/>
    <w:rsid w:val="0091167F"/>
    <w:rsid w:val="00915063"/>
    <w:rsid w:val="00924DEE"/>
    <w:rsid w:val="009307CF"/>
    <w:rsid w:val="0093090E"/>
    <w:rsid w:val="009318C6"/>
    <w:rsid w:val="009331E1"/>
    <w:rsid w:val="009530CB"/>
    <w:rsid w:val="00954A7F"/>
    <w:rsid w:val="00973DDF"/>
    <w:rsid w:val="009A2C68"/>
    <w:rsid w:val="009B1B92"/>
    <w:rsid w:val="009B2087"/>
    <w:rsid w:val="009C14E6"/>
    <w:rsid w:val="009C4224"/>
    <w:rsid w:val="009C608D"/>
    <w:rsid w:val="009D5C37"/>
    <w:rsid w:val="009D71E8"/>
    <w:rsid w:val="009E0889"/>
    <w:rsid w:val="009E20EC"/>
    <w:rsid w:val="009E53CE"/>
    <w:rsid w:val="009E7CA7"/>
    <w:rsid w:val="009F55A2"/>
    <w:rsid w:val="009F7D78"/>
    <w:rsid w:val="00A00E04"/>
    <w:rsid w:val="00A01745"/>
    <w:rsid w:val="00A01FA1"/>
    <w:rsid w:val="00A0371D"/>
    <w:rsid w:val="00A04894"/>
    <w:rsid w:val="00A0707E"/>
    <w:rsid w:val="00A116B5"/>
    <w:rsid w:val="00A12673"/>
    <w:rsid w:val="00A43D81"/>
    <w:rsid w:val="00A44C4F"/>
    <w:rsid w:val="00A51227"/>
    <w:rsid w:val="00A60A4D"/>
    <w:rsid w:val="00A91DF4"/>
    <w:rsid w:val="00A91E5C"/>
    <w:rsid w:val="00A948BE"/>
    <w:rsid w:val="00A96EAC"/>
    <w:rsid w:val="00AA33FA"/>
    <w:rsid w:val="00AA4201"/>
    <w:rsid w:val="00AB2902"/>
    <w:rsid w:val="00AB2997"/>
    <w:rsid w:val="00AB683B"/>
    <w:rsid w:val="00AC0A0E"/>
    <w:rsid w:val="00AC3A2F"/>
    <w:rsid w:val="00AC7C6B"/>
    <w:rsid w:val="00AD2FCC"/>
    <w:rsid w:val="00AD3389"/>
    <w:rsid w:val="00AD4085"/>
    <w:rsid w:val="00AD4FA8"/>
    <w:rsid w:val="00AD7E7E"/>
    <w:rsid w:val="00AE7BA8"/>
    <w:rsid w:val="00B029C6"/>
    <w:rsid w:val="00B108D6"/>
    <w:rsid w:val="00B17489"/>
    <w:rsid w:val="00B22BA4"/>
    <w:rsid w:val="00B3046C"/>
    <w:rsid w:val="00B321C9"/>
    <w:rsid w:val="00B3365F"/>
    <w:rsid w:val="00B35494"/>
    <w:rsid w:val="00B41FB1"/>
    <w:rsid w:val="00B435E5"/>
    <w:rsid w:val="00B566E5"/>
    <w:rsid w:val="00B6298B"/>
    <w:rsid w:val="00B649B5"/>
    <w:rsid w:val="00B66345"/>
    <w:rsid w:val="00B66B85"/>
    <w:rsid w:val="00B71B1C"/>
    <w:rsid w:val="00B72A12"/>
    <w:rsid w:val="00B73452"/>
    <w:rsid w:val="00B87D66"/>
    <w:rsid w:val="00B935DE"/>
    <w:rsid w:val="00B93A48"/>
    <w:rsid w:val="00B97CEC"/>
    <w:rsid w:val="00BA2BD0"/>
    <w:rsid w:val="00BA6FFC"/>
    <w:rsid w:val="00BA76E1"/>
    <w:rsid w:val="00BB2042"/>
    <w:rsid w:val="00BB2757"/>
    <w:rsid w:val="00BB5B63"/>
    <w:rsid w:val="00BC07A3"/>
    <w:rsid w:val="00BC466C"/>
    <w:rsid w:val="00BD6184"/>
    <w:rsid w:val="00BD7929"/>
    <w:rsid w:val="00BE0EC8"/>
    <w:rsid w:val="00BE32D6"/>
    <w:rsid w:val="00BF3091"/>
    <w:rsid w:val="00BF693E"/>
    <w:rsid w:val="00C1068F"/>
    <w:rsid w:val="00C108AD"/>
    <w:rsid w:val="00C1755D"/>
    <w:rsid w:val="00C179AB"/>
    <w:rsid w:val="00C24F2B"/>
    <w:rsid w:val="00C42788"/>
    <w:rsid w:val="00C509CA"/>
    <w:rsid w:val="00C514A5"/>
    <w:rsid w:val="00C54763"/>
    <w:rsid w:val="00C610E4"/>
    <w:rsid w:val="00C62036"/>
    <w:rsid w:val="00C651CE"/>
    <w:rsid w:val="00C657BC"/>
    <w:rsid w:val="00C65A10"/>
    <w:rsid w:val="00C65DA3"/>
    <w:rsid w:val="00C71098"/>
    <w:rsid w:val="00C72C5E"/>
    <w:rsid w:val="00C75F5E"/>
    <w:rsid w:val="00C81EE1"/>
    <w:rsid w:val="00C85671"/>
    <w:rsid w:val="00C90B87"/>
    <w:rsid w:val="00C91098"/>
    <w:rsid w:val="00C935C3"/>
    <w:rsid w:val="00CB7C64"/>
    <w:rsid w:val="00CC0A9F"/>
    <w:rsid w:val="00CC0D2C"/>
    <w:rsid w:val="00CC2706"/>
    <w:rsid w:val="00CC44C9"/>
    <w:rsid w:val="00CD0399"/>
    <w:rsid w:val="00CD5002"/>
    <w:rsid w:val="00CE0F59"/>
    <w:rsid w:val="00CE1BF3"/>
    <w:rsid w:val="00CE2F20"/>
    <w:rsid w:val="00CE3DC5"/>
    <w:rsid w:val="00CE462D"/>
    <w:rsid w:val="00CF1ED4"/>
    <w:rsid w:val="00CF4E81"/>
    <w:rsid w:val="00CF612B"/>
    <w:rsid w:val="00D03635"/>
    <w:rsid w:val="00D15FEB"/>
    <w:rsid w:val="00D17EE5"/>
    <w:rsid w:val="00D20C68"/>
    <w:rsid w:val="00D33FE5"/>
    <w:rsid w:val="00D37947"/>
    <w:rsid w:val="00D455C4"/>
    <w:rsid w:val="00D4695F"/>
    <w:rsid w:val="00D477F3"/>
    <w:rsid w:val="00D55140"/>
    <w:rsid w:val="00D6215F"/>
    <w:rsid w:val="00D77132"/>
    <w:rsid w:val="00D814FE"/>
    <w:rsid w:val="00D91326"/>
    <w:rsid w:val="00D93E21"/>
    <w:rsid w:val="00DA14D9"/>
    <w:rsid w:val="00DA472F"/>
    <w:rsid w:val="00DA4F6A"/>
    <w:rsid w:val="00DB5764"/>
    <w:rsid w:val="00DB6FDB"/>
    <w:rsid w:val="00DC4AF9"/>
    <w:rsid w:val="00DD1575"/>
    <w:rsid w:val="00DD673B"/>
    <w:rsid w:val="00DD72B9"/>
    <w:rsid w:val="00DD7F93"/>
    <w:rsid w:val="00DE395F"/>
    <w:rsid w:val="00DF102E"/>
    <w:rsid w:val="00E0432B"/>
    <w:rsid w:val="00E130E5"/>
    <w:rsid w:val="00E208C6"/>
    <w:rsid w:val="00E31AFB"/>
    <w:rsid w:val="00E32D47"/>
    <w:rsid w:val="00E42AE9"/>
    <w:rsid w:val="00E42FDF"/>
    <w:rsid w:val="00E4454C"/>
    <w:rsid w:val="00E46F09"/>
    <w:rsid w:val="00E66558"/>
    <w:rsid w:val="00E67EB6"/>
    <w:rsid w:val="00E71204"/>
    <w:rsid w:val="00E73356"/>
    <w:rsid w:val="00E76905"/>
    <w:rsid w:val="00E93DC1"/>
    <w:rsid w:val="00E94208"/>
    <w:rsid w:val="00EA69BE"/>
    <w:rsid w:val="00EC2922"/>
    <w:rsid w:val="00EC5D38"/>
    <w:rsid w:val="00EC66F2"/>
    <w:rsid w:val="00EC69D0"/>
    <w:rsid w:val="00ED2BD4"/>
    <w:rsid w:val="00ED70AB"/>
    <w:rsid w:val="00EF548F"/>
    <w:rsid w:val="00EF6185"/>
    <w:rsid w:val="00F004DC"/>
    <w:rsid w:val="00F1103F"/>
    <w:rsid w:val="00F12369"/>
    <w:rsid w:val="00F20865"/>
    <w:rsid w:val="00F3390D"/>
    <w:rsid w:val="00F34A68"/>
    <w:rsid w:val="00F34E07"/>
    <w:rsid w:val="00F37201"/>
    <w:rsid w:val="00F409AE"/>
    <w:rsid w:val="00F445B0"/>
    <w:rsid w:val="00F52A9C"/>
    <w:rsid w:val="00F53669"/>
    <w:rsid w:val="00F53B21"/>
    <w:rsid w:val="00F55FA8"/>
    <w:rsid w:val="00F61566"/>
    <w:rsid w:val="00F662AB"/>
    <w:rsid w:val="00F70BDB"/>
    <w:rsid w:val="00F722F5"/>
    <w:rsid w:val="00F74491"/>
    <w:rsid w:val="00F7524A"/>
    <w:rsid w:val="00F80B0A"/>
    <w:rsid w:val="00FA7409"/>
    <w:rsid w:val="00FB0ECE"/>
    <w:rsid w:val="00FB2BC2"/>
    <w:rsid w:val="00FB34AD"/>
    <w:rsid w:val="00FB38AE"/>
    <w:rsid w:val="00FB6400"/>
    <w:rsid w:val="00FC27E0"/>
    <w:rsid w:val="00FC4944"/>
    <w:rsid w:val="00FC7668"/>
    <w:rsid w:val="00FD456C"/>
    <w:rsid w:val="00FD73AE"/>
    <w:rsid w:val="00FE7291"/>
    <w:rsid w:val="00FF387E"/>
    <w:rsid w:val="00FF5998"/>
    <w:rsid w:val="02074D0B"/>
    <w:rsid w:val="027EBA57"/>
    <w:rsid w:val="0356F554"/>
    <w:rsid w:val="08214F0F"/>
    <w:rsid w:val="088CA071"/>
    <w:rsid w:val="0D609EA1"/>
    <w:rsid w:val="0E4DC90F"/>
    <w:rsid w:val="0EC9A1B9"/>
    <w:rsid w:val="0FACC4A5"/>
    <w:rsid w:val="0FB52690"/>
    <w:rsid w:val="1005508F"/>
    <w:rsid w:val="1065430D"/>
    <w:rsid w:val="15C6C381"/>
    <w:rsid w:val="17225B65"/>
    <w:rsid w:val="1798C0F3"/>
    <w:rsid w:val="17D7B0AF"/>
    <w:rsid w:val="19F2ED9E"/>
    <w:rsid w:val="1D2C3FF0"/>
    <w:rsid w:val="1DD0C1A9"/>
    <w:rsid w:val="20609AC8"/>
    <w:rsid w:val="20E65B82"/>
    <w:rsid w:val="234379C7"/>
    <w:rsid w:val="2445387A"/>
    <w:rsid w:val="2462F0CC"/>
    <w:rsid w:val="24674627"/>
    <w:rsid w:val="24E388F1"/>
    <w:rsid w:val="27F8FEC5"/>
    <w:rsid w:val="28756459"/>
    <w:rsid w:val="28847A25"/>
    <w:rsid w:val="28D65C7D"/>
    <w:rsid w:val="2BBDF4CC"/>
    <w:rsid w:val="2CD5CFCE"/>
    <w:rsid w:val="31985A3D"/>
    <w:rsid w:val="3225D9D5"/>
    <w:rsid w:val="3382DBE0"/>
    <w:rsid w:val="33A35BD4"/>
    <w:rsid w:val="379D280F"/>
    <w:rsid w:val="38930D18"/>
    <w:rsid w:val="39EFF1A4"/>
    <w:rsid w:val="3B4E82C3"/>
    <w:rsid w:val="3CCBA88B"/>
    <w:rsid w:val="3F24F8CF"/>
    <w:rsid w:val="3FDF4F1A"/>
    <w:rsid w:val="420A1686"/>
    <w:rsid w:val="435377BB"/>
    <w:rsid w:val="47D3483D"/>
    <w:rsid w:val="4A31D37F"/>
    <w:rsid w:val="4A47C593"/>
    <w:rsid w:val="4AD359DC"/>
    <w:rsid w:val="50A2691A"/>
    <w:rsid w:val="5110E8BB"/>
    <w:rsid w:val="5253BA89"/>
    <w:rsid w:val="564EF2D6"/>
    <w:rsid w:val="57048FCC"/>
    <w:rsid w:val="57B625AF"/>
    <w:rsid w:val="583A489A"/>
    <w:rsid w:val="588A6BFE"/>
    <w:rsid w:val="59D218BD"/>
    <w:rsid w:val="5AAF749F"/>
    <w:rsid w:val="5C4C3341"/>
    <w:rsid w:val="5FC043B5"/>
    <w:rsid w:val="6785BE46"/>
    <w:rsid w:val="681F660C"/>
    <w:rsid w:val="6AA52E6A"/>
    <w:rsid w:val="6BE2B503"/>
    <w:rsid w:val="6E599739"/>
    <w:rsid w:val="6E5D98F1"/>
    <w:rsid w:val="7113782F"/>
    <w:rsid w:val="74ACF60D"/>
    <w:rsid w:val="759966DD"/>
    <w:rsid w:val="7799CC1A"/>
    <w:rsid w:val="77FA75BE"/>
    <w:rsid w:val="7927D21A"/>
    <w:rsid w:val="7CD6FCB0"/>
    <w:rsid w:val="7DDDA17C"/>
    <w:rsid w:val="7F34B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D54B1"/>
  <w15:docId w15:val="{77AC17DE-1A23-4F28-8CE5-C512B086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737348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table" w:styleId="TableGrid">
    <w:name w:val="Table Grid"/>
    <w:basedOn w:val="TableNormal"/>
    <w:uiPriority w:val="39"/>
    <w:rsid w:val="00FF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pupil-premium-effective-use-and-accountabilit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pupil-premium-effective-use-and-accountabili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9466E7AF2DB4A968639B8B8938CCB" ma:contentTypeVersion="18" ma:contentTypeDescription="Create a new document." ma:contentTypeScope="" ma:versionID="b45b00c10fbb738c01cf3eca5ec41828">
  <xsd:schema xmlns:xsd="http://www.w3.org/2001/XMLSchema" xmlns:xs="http://www.w3.org/2001/XMLSchema" xmlns:p="http://schemas.microsoft.com/office/2006/metadata/properties" xmlns:ns2="bb955dde-5d43-4692-8883-fa02a3941116" xmlns:ns3="19276ba0-4a36-44fe-8156-84a8ec7255c9" targetNamespace="http://schemas.microsoft.com/office/2006/metadata/properties" ma:root="true" ma:fieldsID="2741c176ae8dd864f772e86aa45aee2d" ns2:_="" ns3:_="">
    <xsd:import namespace="bb955dde-5d43-4692-8883-fa02a3941116"/>
    <xsd:import namespace="19276ba0-4a36-44fe-8156-84a8ec725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5dde-5d43-4692-8883-fa02a394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6ba0-4a36-44fe-8156-84a8ec7255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1fd89-3bd6-42f3-975f-9c333970d50e}" ma:internalName="TaxCatchAll" ma:showField="CatchAllData" ma:web="19276ba0-4a36-44fe-8156-84a8ec725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5dde-5d43-4692-8883-fa02a3941116">
      <Terms xmlns="http://schemas.microsoft.com/office/infopath/2007/PartnerControls"/>
    </lcf76f155ced4ddcb4097134ff3c332f>
    <TaxCatchAll xmlns="19276ba0-4a36-44fe-8156-84a8ec7255c9" xsi:nil="true"/>
    <SharedWithUsers xmlns="19276ba0-4a36-44fe-8156-84a8ec7255c9">
      <UserInfo>
        <DisplayName>Mrs R Marrey (St Josephs)</DisplayName>
        <AccountId>66</AccountId>
        <AccountType/>
      </UserInfo>
      <UserInfo>
        <DisplayName>Mrs D Faux-Conduit (St Josephs)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7A04-EEB7-4292-B0C7-35181592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5dde-5d43-4692-8883-fa02a3941116"/>
    <ds:schemaRef ds:uri="19276ba0-4a36-44fe-8156-84a8ec72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848BE-CDF8-42FC-AD00-A00FF5998EAB}">
  <ds:schemaRefs>
    <ds:schemaRef ds:uri="http://schemas.microsoft.com/office/2006/metadata/properties"/>
    <ds:schemaRef ds:uri="http://schemas.microsoft.com/office/infopath/2007/PartnerControls"/>
    <ds:schemaRef ds:uri="bb955dde-5d43-4692-8883-fa02a3941116"/>
    <ds:schemaRef ds:uri="19276ba0-4a36-44fe-8156-84a8ec7255c9"/>
  </ds:schemaRefs>
</ds:datastoreItem>
</file>

<file path=customXml/itemProps3.xml><?xml version="1.0" encoding="utf-8"?>
<ds:datastoreItem xmlns:ds="http://schemas.openxmlformats.org/officeDocument/2006/customXml" ds:itemID="{5C1AEE2E-BBB0-4736-9FF8-3651D813F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3F7C1-A57E-446E-A9BA-C95604CF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2499</Words>
  <Characters>14246</Characters>
  <Application>Microsoft Office Word</Application>
  <DocSecurity>0</DocSecurity>
  <Lines>118</Lines>
  <Paragraphs>33</Paragraphs>
  <ScaleCrop>false</ScaleCrop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>Master-ET-v3.8</dc:description>
  <cp:lastModifiedBy>A Wilkes (Staff - JOS)</cp:lastModifiedBy>
  <cp:revision>2</cp:revision>
  <cp:lastPrinted>2023-12-12T15:44:00Z</cp:lastPrinted>
  <dcterms:created xsi:type="dcterms:W3CDTF">2025-10-13T15:26:00Z</dcterms:created>
  <dcterms:modified xsi:type="dcterms:W3CDTF">2025-10-13T15:26:00Z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0x0101004889466E7AF2DB4A968639B8B8938CCB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